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E726" w14:textId="77777777" w:rsidR="00F121E8" w:rsidRDefault="001B3914" w:rsidP="00174229">
      <w:pPr>
        <w:jc w:val="center"/>
        <w:rPr>
          <w:rFonts w:ascii="Arial" w:hAnsi="Arial" w:cs="Arial"/>
        </w:rPr>
      </w:pPr>
      <w:r>
        <w:rPr>
          <w:rFonts w:ascii="Arial" w:hAnsi="Arial" w:cs="Arial"/>
          <w:noProof/>
        </w:rPr>
        <w:drawing>
          <wp:inline distT="0" distB="0" distL="0" distR="0" wp14:anchorId="22AC6825" wp14:editId="4B24250A">
            <wp:extent cx="3495675" cy="714375"/>
            <wp:effectExtent l="0" t="0" r="0" b="0"/>
            <wp:docPr id="2" name="Picture 1" descr="WDA_log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A_logo_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5675" cy="714375"/>
                    </a:xfrm>
                    <a:prstGeom prst="rect">
                      <a:avLst/>
                    </a:prstGeom>
                    <a:noFill/>
                    <a:ln>
                      <a:noFill/>
                    </a:ln>
                  </pic:spPr>
                </pic:pic>
              </a:graphicData>
            </a:graphic>
          </wp:inline>
        </w:drawing>
      </w:r>
    </w:p>
    <w:p w14:paraId="6E7D7059" w14:textId="77777777" w:rsidR="003C788D" w:rsidRDefault="003C788D" w:rsidP="00174229">
      <w:pPr>
        <w:jc w:val="center"/>
        <w:rPr>
          <w:rFonts w:ascii="Arial" w:hAnsi="Arial" w:cs="Arial"/>
          <w:b/>
        </w:rPr>
      </w:pPr>
    </w:p>
    <w:p w14:paraId="5D4BF47A" w14:textId="77777777" w:rsidR="003C788D" w:rsidRPr="00546D2E" w:rsidRDefault="003C788D" w:rsidP="003C788D">
      <w:pPr>
        <w:jc w:val="center"/>
        <w:rPr>
          <w:rFonts w:asciiTheme="minorHAnsi" w:hAnsiTheme="minorHAnsi" w:cstheme="minorHAnsi"/>
          <w:b/>
        </w:rPr>
      </w:pPr>
      <w:r w:rsidRPr="00546D2E">
        <w:rPr>
          <w:rFonts w:asciiTheme="minorHAnsi" w:hAnsiTheme="minorHAnsi" w:cstheme="minorHAnsi"/>
          <w:b/>
          <w:i/>
        </w:rPr>
        <w:t>Juveniles are Different</w:t>
      </w:r>
      <w:r w:rsidRPr="00546D2E">
        <w:rPr>
          <w:rFonts w:asciiTheme="minorHAnsi" w:hAnsiTheme="minorHAnsi" w:cstheme="minorHAnsi"/>
          <w:b/>
        </w:rPr>
        <w:t xml:space="preserve">: Using Adolescent Brain Science When </w:t>
      </w:r>
    </w:p>
    <w:p w14:paraId="45EEC6C2" w14:textId="77777777" w:rsidR="003C788D" w:rsidRPr="00546D2E" w:rsidRDefault="003C788D" w:rsidP="003C788D">
      <w:pPr>
        <w:jc w:val="center"/>
        <w:rPr>
          <w:rFonts w:asciiTheme="minorHAnsi" w:hAnsiTheme="minorHAnsi" w:cstheme="minorHAnsi"/>
          <w:b/>
        </w:rPr>
      </w:pPr>
      <w:r w:rsidRPr="00546D2E">
        <w:rPr>
          <w:rFonts w:asciiTheme="minorHAnsi" w:hAnsiTheme="minorHAnsi" w:cstheme="minorHAnsi"/>
          <w:b/>
        </w:rPr>
        <w:t>Representing Youth in Adult Court</w:t>
      </w:r>
      <w:r w:rsidR="00F82ECD">
        <w:rPr>
          <w:rFonts w:asciiTheme="minorHAnsi" w:hAnsiTheme="minorHAnsi" w:cstheme="minorHAnsi"/>
          <w:b/>
        </w:rPr>
        <w:t>- 2018</w:t>
      </w:r>
      <w:r w:rsidRPr="00546D2E">
        <w:rPr>
          <w:rFonts w:asciiTheme="minorHAnsi" w:hAnsiTheme="minorHAnsi" w:cstheme="minorHAnsi"/>
          <w:b/>
        </w:rPr>
        <w:t xml:space="preserve"> Update</w:t>
      </w:r>
    </w:p>
    <w:p w14:paraId="744BE387" w14:textId="77777777" w:rsidR="003C788D" w:rsidRPr="00546D2E" w:rsidRDefault="003C788D" w:rsidP="003C788D">
      <w:pPr>
        <w:rPr>
          <w:rFonts w:asciiTheme="minorHAnsi" w:hAnsiTheme="minorHAnsi" w:cstheme="minorHAnsi"/>
        </w:rPr>
      </w:pPr>
    </w:p>
    <w:p w14:paraId="1E64B731" w14:textId="77777777" w:rsidR="003C788D" w:rsidRPr="00546D2E" w:rsidRDefault="003C788D" w:rsidP="003C788D">
      <w:pPr>
        <w:pStyle w:val="Subtitle"/>
        <w:jc w:val="left"/>
        <w:rPr>
          <w:rFonts w:asciiTheme="minorHAnsi" w:hAnsiTheme="minorHAnsi" w:cstheme="minorHAnsi"/>
        </w:rPr>
      </w:pPr>
      <w:r w:rsidRPr="00546D2E">
        <w:rPr>
          <w:rFonts w:asciiTheme="minorHAnsi" w:hAnsiTheme="minorHAnsi" w:cstheme="minorHAnsi"/>
        </w:rPr>
        <w:t xml:space="preserve">In </w:t>
      </w:r>
      <w:r w:rsidR="00F82ECD">
        <w:rPr>
          <w:rFonts w:asciiTheme="minorHAnsi" w:hAnsiTheme="minorHAnsi" w:cstheme="minorHAnsi"/>
        </w:rPr>
        <w:t>recent years, both</w:t>
      </w:r>
      <w:r w:rsidRPr="00546D2E">
        <w:rPr>
          <w:rFonts w:asciiTheme="minorHAnsi" w:hAnsiTheme="minorHAnsi" w:cstheme="minorHAnsi"/>
        </w:rPr>
        <w:t xml:space="preserve"> the US Supreme Court </w:t>
      </w:r>
      <w:r w:rsidR="00F82ECD">
        <w:rPr>
          <w:rFonts w:asciiTheme="minorHAnsi" w:hAnsiTheme="minorHAnsi" w:cstheme="minorHAnsi"/>
        </w:rPr>
        <w:t xml:space="preserve">and the Washington Supreme Court </w:t>
      </w:r>
      <w:r w:rsidRPr="00546D2E">
        <w:rPr>
          <w:rFonts w:asciiTheme="minorHAnsi" w:hAnsiTheme="minorHAnsi" w:cstheme="minorHAnsi"/>
        </w:rPr>
        <w:t>ha</w:t>
      </w:r>
      <w:r w:rsidR="00F82ECD">
        <w:rPr>
          <w:rFonts w:asciiTheme="minorHAnsi" w:hAnsiTheme="minorHAnsi" w:cstheme="minorHAnsi"/>
        </w:rPr>
        <w:t>ve</w:t>
      </w:r>
      <w:r w:rsidRPr="00546D2E">
        <w:rPr>
          <w:rFonts w:asciiTheme="minorHAnsi" w:hAnsiTheme="minorHAnsi" w:cstheme="minorHAnsi"/>
        </w:rPr>
        <w:t xml:space="preserve"> handed down decisions profoundly alter</w:t>
      </w:r>
      <w:r w:rsidR="00F82ECD">
        <w:rPr>
          <w:rFonts w:asciiTheme="minorHAnsi" w:hAnsiTheme="minorHAnsi" w:cstheme="minorHAnsi"/>
        </w:rPr>
        <w:t>ing</w:t>
      </w:r>
      <w:r w:rsidRPr="00546D2E">
        <w:rPr>
          <w:rFonts w:asciiTheme="minorHAnsi" w:hAnsiTheme="minorHAnsi" w:cstheme="minorHAnsi"/>
        </w:rPr>
        <w:t xml:space="preserve"> the treatment of </w:t>
      </w:r>
      <w:r w:rsidR="00F82ECD">
        <w:rPr>
          <w:rFonts w:asciiTheme="minorHAnsi" w:hAnsiTheme="minorHAnsi" w:cstheme="minorHAnsi"/>
        </w:rPr>
        <w:t>youth and young adults</w:t>
      </w:r>
      <w:r w:rsidRPr="00546D2E">
        <w:rPr>
          <w:rFonts w:asciiTheme="minorHAnsi" w:hAnsiTheme="minorHAnsi" w:cstheme="minorHAnsi"/>
        </w:rPr>
        <w:t xml:space="preserve"> in the criminal justice system.  </w:t>
      </w:r>
      <w:r w:rsidR="00F82ECD">
        <w:rPr>
          <w:rFonts w:asciiTheme="minorHAnsi" w:hAnsiTheme="minorHAnsi" w:cstheme="minorHAnsi"/>
        </w:rPr>
        <w:t xml:space="preserve">Beginning in 2005 </w:t>
      </w:r>
      <w:r w:rsidR="00F82ECD" w:rsidRPr="00F82ECD">
        <w:rPr>
          <w:rFonts w:asciiTheme="minorHAnsi" w:hAnsiTheme="minorHAnsi" w:cstheme="minorHAnsi"/>
        </w:rPr>
        <w:t>with</w:t>
      </w:r>
      <w:r w:rsidR="00F82ECD" w:rsidRPr="00F82ECD">
        <w:rPr>
          <w:rFonts w:asciiTheme="minorHAnsi" w:hAnsiTheme="minorHAnsi" w:cstheme="minorHAnsi"/>
          <w:i/>
        </w:rPr>
        <w:t xml:space="preserve"> </w:t>
      </w:r>
      <w:r w:rsidRPr="00F82ECD">
        <w:rPr>
          <w:rFonts w:asciiTheme="minorHAnsi" w:hAnsiTheme="minorHAnsi" w:cstheme="minorHAnsi"/>
          <w:i/>
        </w:rPr>
        <w:t>Roper v. Simmons</w:t>
      </w:r>
      <w:r w:rsidR="00F82ECD">
        <w:rPr>
          <w:rFonts w:asciiTheme="minorHAnsi" w:hAnsiTheme="minorHAnsi" w:cstheme="minorHAnsi"/>
          <w:u w:val="single"/>
        </w:rPr>
        <w:t xml:space="preserve"> </w:t>
      </w:r>
      <w:r w:rsidRPr="00546D2E">
        <w:rPr>
          <w:rStyle w:val="FootnoteReference"/>
          <w:rFonts w:asciiTheme="minorHAnsi" w:hAnsiTheme="minorHAnsi" w:cstheme="minorHAnsi"/>
        </w:rPr>
        <w:footnoteReference w:id="1"/>
      </w:r>
      <w:r w:rsidRPr="00546D2E">
        <w:rPr>
          <w:rFonts w:asciiTheme="minorHAnsi" w:hAnsiTheme="minorHAnsi" w:cstheme="minorHAnsi"/>
        </w:rPr>
        <w:t xml:space="preserve"> </w:t>
      </w:r>
      <w:r w:rsidR="00F82ECD">
        <w:rPr>
          <w:rFonts w:asciiTheme="minorHAnsi" w:hAnsiTheme="minorHAnsi" w:cstheme="minorHAnsi"/>
        </w:rPr>
        <w:t xml:space="preserve">these courts have recognized that juveniles are different and must be treated differently from adults.  In </w:t>
      </w:r>
      <w:r w:rsidR="00F82ECD" w:rsidRPr="00F82ECD">
        <w:rPr>
          <w:rFonts w:asciiTheme="minorHAnsi" w:hAnsiTheme="minorHAnsi" w:cstheme="minorHAnsi"/>
          <w:i/>
        </w:rPr>
        <w:t>Roper</w:t>
      </w:r>
      <w:r w:rsidR="00F82ECD">
        <w:rPr>
          <w:rFonts w:asciiTheme="minorHAnsi" w:hAnsiTheme="minorHAnsi" w:cstheme="minorHAnsi"/>
        </w:rPr>
        <w:t xml:space="preserve">, the Supreme </w:t>
      </w:r>
      <w:r w:rsidRPr="00546D2E">
        <w:rPr>
          <w:rFonts w:asciiTheme="minorHAnsi" w:hAnsiTheme="minorHAnsi" w:cstheme="minorHAnsi"/>
        </w:rPr>
        <w:t>Court relied on the 8</w:t>
      </w:r>
      <w:r w:rsidRPr="00546D2E">
        <w:rPr>
          <w:rFonts w:asciiTheme="minorHAnsi" w:hAnsiTheme="minorHAnsi" w:cstheme="minorHAnsi"/>
          <w:vertAlign w:val="superscript"/>
        </w:rPr>
        <w:t>th</w:t>
      </w:r>
      <w:r w:rsidRPr="00546D2E">
        <w:rPr>
          <w:rFonts w:asciiTheme="minorHAnsi" w:hAnsiTheme="minorHAnsi" w:cstheme="minorHAnsi"/>
        </w:rPr>
        <w:t xml:space="preserve"> Amendment when it abolished the death penalty for all juveniles.</w:t>
      </w:r>
      <w:r w:rsidRPr="00546D2E">
        <w:rPr>
          <w:rStyle w:val="FootnoteReference"/>
          <w:rFonts w:asciiTheme="minorHAnsi" w:hAnsiTheme="minorHAnsi" w:cstheme="minorHAnsi"/>
        </w:rPr>
        <w:footnoteReference w:id="2"/>
      </w:r>
      <w:r w:rsidRPr="00546D2E">
        <w:rPr>
          <w:rFonts w:asciiTheme="minorHAnsi" w:hAnsiTheme="minorHAnsi" w:cstheme="minorHAnsi"/>
        </w:rPr>
        <w:t xml:space="preserve">  Five years later in 2010, the Supreme Court again relied on the 8</w:t>
      </w:r>
      <w:r w:rsidRPr="00546D2E">
        <w:rPr>
          <w:rFonts w:asciiTheme="minorHAnsi" w:hAnsiTheme="minorHAnsi" w:cstheme="minorHAnsi"/>
          <w:vertAlign w:val="superscript"/>
        </w:rPr>
        <w:t>th</w:t>
      </w:r>
      <w:r w:rsidRPr="00546D2E">
        <w:rPr>
          <w:rFonts w:asciiTheme="minorHAnsi" w:hAnsiTheme="minorHAnsi" w:cstheme="minorHAnsi"/>
        </w:rPr>
        <w:t xml:space="preserve"> Amendment when it struck down mandatory life sentences for youth who commit non-homicide crimes in </w:t>
      </w:r>
      <w:r w:rsidRPr="00F82ECD">
        <w:rPr>
          <w:rFonts w:asciiTheme="minorHAnsi" w:hAnsiTheme="minorHAnsi" w:cstheme="minorHAnsi"/>
          <w:i/>
        </w:rPr>
        <w:t>Graham v. Florida</w:t>
      </w:r>
      <w:r w:rsidRPr="00F82ECD">
        <w:rPr>
          <w:rFonts w:asciiTheme="minorHAnsi" w:hAnsiTheme="minorHAnsi" w:cstheme="minorHAnsi"/>
        </w:rPr>
        <w:t>.</w:t>
      </w:r>
      <w:r w:rsidRPr="00546D2E">
        <w:rPr>
          <w:rStyle w:val="FootnoteReference"/>
          <w:rFonts w:asciiTheme="minorHAnsi" w:hAnsiTheme="minorHAnsi" w:cstheme="minorHAnsi"/>
        </w:rPr>
        <w:footnoteReference w:id="3"/>
      </w:r>
      <w:r w:rsidRPr="00546D2E">
        <w:rPr>
          <w:rFonts w:asciiTheme="minorHAnsi" w:hAnsiTheme="minorHAnsi" w:cstheme="minorHAnsi"/>
        </w:rPr>
        <w:t xml:space="preserve"> Then, in June 2011, the Supreme Court decided </w:t>
      </w:r>
      <w:r w:rsidRPr="00F82ECD">
        <w:rPr>
          <w:rFonts w:asciiTheme="minorHAnsi" w:hAnsiTheme="minorHAnsi" w:cstheme="minorHAnsi"/>
          <w:i/>
        </w:rPr>
        <w:t>JDB v. North Carolina</w:t>
      </w:r>
      <w:r w:rsidRPr="00F82ECD">
        <w:rPr>
          <w:rFonts w:asciiTheme="minorHAnsi" w:hAnsiTheme="minorHAnsi" w:cstheme="minorHAnsi"/>
        </w:rPr>
        <w:t>,</w:t>
      </w:r>
      <w:r w:rsidRPr="00546D2E">
        <w:rPr>
          <w:rStyle w:val="FootnoteReference"/>
          <w:rFonts w:asciiTheme="minorHAnsi" w:hAnsiTheme="minorHAnsi" w:cstheme="minorHAnsi"/>
        </w:rPr>
        <w:footnoteReference w:id="4"/>
      </w:r>
      <w:r w:rsidRPr="00546D2E">
        <w:rPr>
          <w:rFonts w:asciiTheme="minorHAnsi" w:hAnsiTheme="minorHAnsi" w:cstheme="minorHAnsi"/>
        </w:rPr>
        <w:t xml:space="preserve"> holding that the </w:t>
      </w:r>
      <w:r w:rsidRPr="00546D2E">
        <w:rPr>
          <w:rFonts w:asciiTheme="minorHAnsi" w:hAnsiTheme="minorHAnsi" w:cstheme="minorHAnsi"/>
          <w:i/>
        </w:rPr>
        <w:t xml:space="preserve">Miranda </w:t>
      </w:r>
      <w:r w:rsidRPr="00546D2E">
        <w:rPr>
          <w:rFonts w:asciiTheme="minorHAnsi" w:hAnsiTheme="minorHAnsi" w:cstheme="minorHAnsi"/>
        </w:rPr>
        <w:t>custody test can readily include consideration of the age</w:t>
      </w:r>
      <w:r w:rsidR="00F82ECD">
        <w:rPr>
          <w:rFonts w:asciiTheme="minorHAnsi" w:hAnsiTheme="minorHAnsi" w:cstheme="minorHAnsi"/>
        </w:rPr>
        <w:t xml:space="preserve"> and maturity</w:t>
      </w:r>
      <w:r w:rsidRPr="00546D2E">
        <w:rPr>
          <w:rFonts w:asciiTheme="minorHAnsi" w:hAnsiTheme="minorHAnsi" w:cstheme="minorHAnsi"/>
        </w:rPr>
        <w:t xml:space="preserve"> of a juvenile.  Finally, in June of 2012, the Supreme Court decided </w:t>
      </w:r>
      <w:r w:rsidRPr="00F82ECD">
        <w:rPr>
          <w:rFonts w:asciiTheme="minorHAnsi" w:hAnsiTheme="minorHAnsi" w:cstheme="minorHAnsi"/>
          <w:i/>
        </w:rPr>
        <w:t>Miller v. Alabama</w:t>
      </w:r>
      <w:r w:rsidRPr="00546D2E">
        <w:rPr>
          <w:rFonts w:asciiTheme="minorHAnsi" w:hAnsiTheme="minorHAnsi" w:cstheme="minorHAnsi"/>
        </w:rPr>
        <w:t>,</w:t>
      </w:r>
      <w:r w:rsidRPr="00546D2E">
        <w:rPr>
          <w:rStyle w:val="FootnoteReference"/>
          <w:rFonts w:asciiTheme="minorHAnsi" w:hAnsiTheme="minorHAnsi" w:cstheme="minorHAnsi"/>
        </w:rPr>
        <w:footnoteReference w:id="5"/>
      </w:r>
      <w:r w:rsidRPr="00546D2E">
        <w:rPr>
          <w:rFonts w:asciiTheme="minorHAnsi" w:hAnsiTheme="minorHAnsi" w:cstheme="minorHAnsi"/>
        </w:rPr>
        <w:t xml:space="preserve"> holding that a mandatory life without parole sentence for juveniles convicted of homicide crimes is unconstitutional, again relying on the 8</w:t>
      </w:r>
      <w:r w:rsidRPr="00546D2E">
        <w:rPr>
          <w:rFonts w:asciiTheme="minorHAnsi" w:hAnsiTheme="minorHAnsi" w:cstheme="minorHAnsi"/>
          <w:vertAlign w:val="superscript"/>
        </w:rPr>
        <w:t>th</w:t>
      </w:r>
      <w:r w:rsidRPr="00546D2E">
        <w:rPr>
          <w:rFonts w:asciiTheme="minorHAnsi" w:hAnsiTheme="minorHAnsi" w:cstheme="minorHAnsi"/>
        </w:rPr>
        <w:t xml:space="preserve"> Amendment.</w:t>
      </w:r>
      <w:r w:rsidR="00F82ECD">
        <w:rPr>
          <w:rFonts w:asciiTheme="minorHAnsi" w:hAnsiTheme="minorHAnsi" w:cstheme="minorHAnsi"/>
        </w:rPr>
        <w:t xml:space="preserve"> T</w:t>
      </w:r>
      <w:r w:rsidRPr="00546D2E">
        <w:rPr>
          <w:rFonts w:asciiTheme="minorHAnsi" w:hAnsiTheme="minorHAnsi" w:cstheme="minorHAnsi"/>
        </w:rPr>
        <w:t xml:space="preserve">he Washington Supreme Court </w:t>
      </w:r>
      <w:r w:rsidR="00F82ECD">
        <w:rPr>
          <w:rFonts w:asciiTheme="minorHAnsi" w:hAnsiTheme="minorHAnsi" w:cstheme="minorHAnsi"/>
        </w:rPr>
        <w:t xml:space="preserve">has followed these decisions with </w:t>
      </w:r>
      <w:r w:rsidRPr="00F82ECD">
        <w:rPr>
          <w:rFonts w:asciiTheme="minorHAnsi" w:hAnsiTheme="minorHAnsi" w:cstheme="minorHAnsi"/>
          <w:i/>
        </w:rPr>
        <w:t>St v. O’Dell</w:t>
      </w:r>
      <w:r w:rsidRPr="00546D2E">
        <w:rPr>
          <w:rStyle w:val="FootnoteReference"/>
          <w:rFonts w:asciiTheme="minorHAnsi" w:hAnsiTheme="minorHAnsi" w:cstheme="minorHAnsi"/>
        </w:rPr>
        <w:footnoteReference w:id="6"/>
      </w:r>
      <w:r w:rsidRPr="00546D2E">
        <w:rPr>
          <w:rFonts w:asciiTheme="minorHAnsi" w:hAnsiTheme="minorHAnsi" w:cstheme="minorHAnsi"/>
        </w:rPr>
        <w:t xml:space="preserve"> in August of 2015</w:t>
      </w:r>
      <w:r w:rsidR="00F82ECD">
        <w:rPr>
          <w:rFonts w:asciiTheme="minorHAnsi" w:hAnsiTheme="minorHAnsi" w:cstheme="minorHAnsi"/>
        </w:rPr>
        <w:t>,</w:t>
      </w:r>
      <w:r w:rsidR="00F82ECD" w:rsidRPr="00F82ECD">
        <w:rPr>
          <w:rFonts w:asciiTheme="minorHAnsi" w:hAnsiTheme="minorHAnsi" w:cstheme="minorHAnsi"/>
        </w:rPr>
        <w:t xml:space="preserve"> </w:t>
      </w:r>
      <w:r w:rsidR="00F82ECD">
        <w:rPr>
          <w:rFonts w:asciiTheme="minorHAnsi" w:hAnsiTheme="minorHAnsi" w:cstheme="minorHAnsi"/>
        </w:rPr>
        <w:t xml:space="preserve">holding </w:t>
      </w:r>
      <w:r w:rsidR="00F82ECD" w:rsidRPr="00546D2E">
        <w:rPr>
          <w:rFonts w:asciiTheme="minorHAnsi" w:hAnsiTheme="minorHAnsi" w:cstheme="minorHAnsi"/>
        </w:rPr>
        <w:t>that youth and developmental immaturity is relevant in some cases to culpability and can be a basis to depart</w:t>
      </w:r>
      <w:r w:rsidR="00F82ECD">
        <w:rPr>
          <w:rFonts w:asciiTheme="minorHAnsi" w:hAnsiTheme="minorHAnsi" w:cstheme="minorHAnsi"/>
        </w:rPr>
        <w:t xml:space="preserve"> from a standard range sentence, even if the individual had reached his 18</w:t>
      </w:r>
      <w:r w:rsidR="00F82ECD" w:rsidRPr="00F82ECD">
        <w:rPr>
          <w:rFonts w:asciiTheme="minorHAnsi" w:hAnsiTheme="minorHAnsi" w:cstheme="minorHAnsi"/>
          <w:vertAlign w:val="superscript"/>
        </w:rPr>
        <w:t>th</w:t>
      </w:r>
      <w:r w:rsidR="00F82ECD">
        <w:rPr>
          <w:rFonts w:asciiTheme="minorHAnsi" w:hAnsiTheme="minorHAnsi" w:cstheme="minorHAnsi"/>
        </w:rPr>
        <w:t xml:space="preserve"> birthday prior to the crime.  In 2017, the Washington Supreme Court decided </w:t>
      </w:r>
      <w:r w:rsidR="00F82ECD" w:rsidRPr="00F82ECD">
        <w:rPr>
          <w:rFonts w:asciiTheme="minorHAnsi" w:hAnsiTheme="minorHAnsi" w:cstheme="minorHAnsi"/>
          <w:i/>
        </w:rPr>
        <w:t>St v. Houston Sconiers</w:t>
      </w:r>
      <w:r w:rsidR="00E24C69">
        <w:rPr>
          <w:rStyle w:val="FootnoteReference"/>
          <w:rFonts w:asciiTheme="minorHAnsi" w:hAnsiTheme="minorHAnsi" w:cstheme="minorHAnsi"/>
          <w:i/>
        </w:rPr>
        <w:footnoteReference w:id="7"/>
      </w:r>
      <w:r w:rsidR="00F82ECD" w:rsidRPr="00F82ECD">
        <w:rPr>
          <w:rFonts w:asciiTheme="minorHAnsi" w:hAnsiTheme="minorHAnsi" w:cstheme="minorHAnsi"/>
          <w:i/>
        </w:rPr>
        <w:t>,</w:t>
      </w:r>
      <w:r w:rsidR="00F82ECD">
        <w:rPr>
          <w:rFonts w:asciiTheme="minorHAnsi" w:hAnsiTheme="minorHAnsi" w:cstheme="minorHAnsi"/>
        </w:rPr>
        <w:t xml:space="preserve"> holding that trial courts have discretion to depart from not only the standard range but also from any mandatory sentencing when factoring in the role youth and developmental maturity.</w:t>
      </w:r>
    </w:p>
    <w:p w14:paraId="18D4A41A" w14:textId="77777777" w:rsidR="003C788D" w:rsidRPr="00546D2E" w:rsidRDefault="003C788D" w:rsidP="003C788D">
      <w:pPr>
        <w:rPr>
          <w:rFonts w:asciiTheme="minorHAnsi" w:hAnsiTheme="minorHAnsi" w:cstheme="minorHAnsi"/>
        </w:rPr>
      </w:pPr>
    </w:p>
    <w:p w14:paraId="30A82FFF"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 xml:space="preserve">In each of these cases the courts recognize the principle that youth are significantly different from adults and must be treated differently in the criminal court setting. Youth are different because they are young and their brains are still developing. Youth are different because, as a class they are characterized by certain inherent traits and characteristics that distinguish them from adults. Youth are different because they will outgrow these characteristics in time and, therefore, they are more likely to be </w:t>
      </w:r>
      <w:r w:rsidRPr="00546D2E">
        <w:rPr>
          <w:rFonts w:asciiTheme="minorHAnsi" w:hAnsiTheme="minorHAnsi" w:cstheme="minorHAnsi"/>
        </w:rPr>
        <w:lastRenderedPageBreak/>
        <w:t xml:space="preserve">transformed and rehabilitated than an adult. Youth are less culpable than adults due to the innate qualities of their age - this was the holding of </w:t>
      </w:r>
      <w:r w:rsidRPr="00F82ECD">
        <w:rPr>
          <w:rFonts w:asciiTheme="minorHAnsi" w:hAnsiTheme="minorHAnsi" w:cstheme="minorHAnsi"/>
          <w:i/>
        </w:rPr>
        <w:t>Roper</w:t>
      </w:r>
      <w:r w:rsidRPr="00546D2E">
        <w:rPr>
          <w:rFonts w:asciiTheme="minorHAnsi" w:hAnsiTheme="minorHAnsi" w:cstheme="minorHAnsi"/>
        </w:rPr>
        <w:t xml:space="preserve">, </w:t>
      </w:r>
      <w:r w:rsidRPr="00F82ECD">
        <w:rPr>
          <w:rFonts w:asciiTheme="minorHAnsi" w:hAnsiTheme="minorHAnsi" w:cstheme="minorHAnsi"/>
          <w:i/>
        </w:rPr>
        <w:t>Graham</w:t>
      </w:r>
      <w:r w:rsidRPr="00546D2E">
        <w:rPr>
          <w:rFonts w:asciiTheme="minorHAnsi" w:hAnsiTheme="minorHAnsi" w:cstheme="minorHAnsi"/>
        </w:rPr>
        <w:t xml:space="preserve"> and</w:t>
      </w:r>
      <w:r w:rsidRPr="00F82ECD">
        <w:rPr>
          <w:rFonts w:asciiTheme="minorHAnsi" w:hAnsiTheme="minorHAnsi" w:cstheme="minorHAnsi"/>
        </w:rPr>
        <w:t xml:space="preserve"> </w:t>
      </w:r>
      <w:r w:rsidRPr="00F82ECD">
        <w:rPr>
          <w:rFonts w:asciiTheme="minorHAnsi" w:hAnsiTheme="minorHAnsi" w:cstheme="minorHAnsi"/>
          <w:i/>
        </w:rPr>
        <w:t>Miller</w:t>
      </w:r>
      <w:r w:rsidRPr="00546D2E">
        <w:rPr>
          <w:rFonts w:asciiTheme="minorHAnsi" w:hAnsiTheme="minorHAnsi" w:cstheme="minorHAnsi"/>
        </w:rPr>
        <w:t>.  In each of these cases the courts recognized that youth have diminished decision making capacity compared to adults, based on the emerging research into adolescent brain development.</w:t>
      </w:r>
    </w:p>
    <w:p w14:paraId="3F46061B" w14:textId="77777777" w:rsidR="003C788D" w:rsidRPr="00546D2E" w:rsidRDefault="003C788D" w:rsidP="003C788D">
      <w:pPr>
        <w:rPr>
          <w:rFonts w:asciiTheme="minorHAnsi" w:hAnsiTheme="minorHAnsi" w:cstheme="minorHAnsi"/>
        </w:rPr>
      </w:pPr>
    </w:p>
    <w:p w14:paraId="7C6503AF" w14:textId="77777777" w:rsidR="003C788D" w:rsidRPr="00546D2E" w:rsidRDefault="003C788D" w:rsidP="003C788D">
      <w:pPr>
        <w:rPr>
          <w:rFonts w:asciiTheme="minorHAnsi" w:hAnsiTheme="minorHAnsi" w:cstheme="minorHAnsi"/>
        </w:rPr>
      </w:pPr>
      <w:r w:rsidRPr="00546D2E">
        <w:rPr>
          <w:rFonts w:asciiTheme="minorHAnsi" w:hAnsiTheme="minorHAnsi" w:cstheme="minorHAnsi"/>
          <w:b/>
        </w:rPr>
        <w:t>Adolescent Brain Development- Understanding the Science</w:t>
      </w:r>
      <w:r w:rsidRPr="00546D2E">
        <w:rPr>
          <w:rStyle w:val="FootnoteReference"/>
          <w:rFonts w:asciiTheme="minorHAnsi" w:hAnsiTheme="minorHAnsi" w:cstheme="minorHAnsi"/>
          <w:b/>
        </w:rPr>
        <w:footnoteReference w:id="8"/>
      </w:r>
    </w:p>
    <w:p w14:paraId="4A4B5486"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The adolescent brain is like a highway under construction.  Scientific research has demonstrated that the human brain continues to change and mature throughout childhood and adolescence.  The teen years, in particular, are an active time of growth and development at the physical level in the brain.  The primitive and instinctual part of the brain develops first, and then comes the part of the brain that helps control reasoning and helps us think before we act.  The early, ancestral part of the brain is called the amygdala.  It is responsible for gut reactions, the “fight or flight” response, and fear and aggressive behaviors.  The more advanced area of the brain is the frontal cortex which helps us control our emotions and modify our actions and response. Adolescents actually use their brains differently than adults when reasoning or solving problems. Adolescents rely more on their instinctual structures, like the amygdala, and less on their more advanced areas such as the frontal lobe.</w:t>
      </w:r>
    </w:p>
    <w:p w14:paraId="46F66D93" w14:textId="77777777" w:rsidR="003C788D" w:rsidRPr="00546D2E" w:rsidRDefault="003C788D" w:rsidP="003C788D">
      <w:pPr>
        <w:rPr>
          <w:rFonts w:asciiTheme="minorHAnsi" w:hAnsiTheme="minorHAnsi" w:cstheme="minorHAnsi"/>
        </w:rPr>
      </w:pPr>
    </w:p>
    <w:p w14:paraId="76D67285"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 xml:space="preserve">In addition to physical development, adolescents are developing rapidly in the social and emotional realms. There are significant, dramatic changes occurring in youth and rapidly developing between ages 10-13 years. In this age range youth begin seeking out thrills and have increased levels of emotional arousal - higher highs, lower lows, and it’s easier to reach the highs and lows.  In this time period, they develop an increased attentiveness to social awareness with respect to peer influence, especially negative peer influence. Adolescents also misread social cues, such as the emotions associated with facial expression.  </w:t>
      </w:r>
    </w:p>
    <w:p w14:paraId="1BF45B85" w14:textId="77777777" w:rsidR="003C788D" w:rsidRPr="00546D2E" w:rsidRDefault="003C788D" w:rsidP="003C788D">
      <w:pPr>
        <w:rPr>
          <w:rFonts w:asciiTheme="minorHAnsi" w:hAnsiTheme="minorHAnsi" w:cstheme="minorHAnsi"/>
        </w:rPr>
      </w:pPr>
    </w:p>
    <w:p w14:paraId="0867B2E5"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Cognitive control develops more slowly, beginning in adolescence and continuing through into the early 20’s.  The deliberative system is still coming on-line in adolescence, and this remains true into the early 20’s.  As youth mature, there is better impulse control, better emotional regulation, and more foresight and planning ahead.  More mature youth are better able to think through the next steps and consequences, and consider alternatives when problem solving.  More mature youth and adults exhibit better reasoning.</w:t>
      </w:r>
    </w:p>
    <w:p w14:paraId="0D46A9CD" w14:textId="77777777" w:rsidR="003C788D" w:rsidRPr="00546D2E" w:rsidRDefault="003C788D" w:rsidP="003C788D">
      <w:pPr>
        <w:rPr>
          <w:rFonts w:asciiTheme="minorHAnsi" w:hAnsiTheme="minorHAnsi" w:cstheme="minorHAnsi"/>
        </w:rPr>
      </w:pPr>
    </w:p>
    <w:p w14:paraId="6AECD032"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Youth clients, in general:</w:t>
      </w:r>
    </w:p>
    <w:p w14:paraId="19FC0D3F"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lastRenderedPageBreak/>
        <w:t>Are more impulsive- especially in a heated emotional context;</w:t>
      </w:r>
    </w:p>
    <w:p w14:paraId="7594DFC2"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t>Are sensation seekers;</w:t>
      </w:r>
    </w:p>
    <w:p w14:paraId="6B590651"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t>Are more susceptible to peer pressure, especially negative peer pressure, and may acquiesce to the “authority” of older peer or go along with a group;</w:t>
      </w:r>
    </w:p>
    <w:p w14:paraId="5154408B"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t>See things in “black and white” – they may not realize exiting a group situation is an option when trouble erupts</w:t>
      </w:r>
    </w:p>
    <w:p w14:paraId="283CFCB9"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t>Lack foresight/planning, lack understanding of consequences;</w:t>
      </w:r>
    </w:p>
    <w:p w14:paraId="46B81215"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t>Are poor risk assessors, they perceive threats and interpret emotions of others differently than adults, they may misinterpret a level of threat and/or overreact to a perceived threat; and</w:t>
      </w:r>
    </w:p>
    <w:p w14:paraId="1E9A9768" w14:textId="77777777" w:rsidR="003C788D" w:rsidRPr="00546D2E" w:rsidRDefault="003C788D" w:rsidP="003C788D">
      <w:pPr>
        <w:numPr>
          <w:ilvl w:val="0"/>
          <w:numId w:val="7"/>
        </w:numPr>
        <w:rPr>
          <w:rFonts w:asciiTheme="minorHAnsi" w:hAnsiTheme="minorHAnsi" w:cstheme="minorHAnsi"/>
        </w:rPr>
      </w:pPr>
      <w:r w:rsidRPr="00546D2E">
        <w:rPr>
          <w:rFonts w:asciiTheme="minorHAnsi" w:hAnsiTheme="minorHAnsi" w:cstheme="minorHAnsi"/>
        </w:rPr>
        <w:t>Are more impaired by their developmental status when under stress (i.e. they have hot and cold cognition – while they may function well under ideal circumstances, they may not fare so well under stress or pressure.)</w:t>
      </w:r>
    </w:p>
    <w:p w14:paraId="2BAF3A36" w14:textId="77777777" w:rsidR="003C788D" w:rsidRPr="00546D2E" w:rsidRDefault="003C788D" w:rsidP="003C788D">
      <w:pPr>
        <w:ind w:left="720"/>
        <w:rPr>
          <w:rFonts w:asciiTheme="minorHAnsi" w:hAnsiTheme="minorHAnsi" w:cstheme="minorHAnsi"/>
        </w:rPr>
      </w:pPr>
    </w:p>
    <w:p w14:paraId="7C5903C1" w14:textId="77777777" w:rsidR="003C788D" w:rsidRPr="00546D2E" w:rsidRDefault="003C788D" w:rsidP="003C788D">
      <w:pPr>
        <w:rPr>
          <w:rFonts w:asciiTheme="minorHAnsi" w:hAnsiTheme="minorHAnsi" w:cstheme="minorHAnsi"/>
          <w:b/>
        </w:rPr>
      </w:pPr>
      <w:r w:rsidRPr="00546D2E">
        <w:rPr>
          <w:rFonts w:asciiTheme="minorHAnsi" w:hAnsiTheme="minorHAnsi" w:cstheme="minorHAnsi"/>
          <w:b/>
        </w:rPr>
        <w:t xml:space="preserve">Ethical Communication and Effective Advocacy: Issues to Consider </w:t>
      </w:r>
    </w:p>
    <w:p w14:paraId="7DF1F0A8"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Because of the innate characteristics of youth a number of issues come up when representing these clients that require careful consideration, investigation and evaluation.</w:t>
      </w:r>
    </w:p>
    <w:p w14:paraId="45AA4C73" w14:textId="77777777" w:rsidR="003C788D" w:rsidRPr="00546D2E" w:rsidRDefault="003C788D" w:rsidP="003C788D">
      <w:pPr>
        <w:rPr>
          <w:rFonts w:asciiTheme="minorHAnsi" w:hAnsiTheme="minorHAnsi" w:cstheme="minorHAnsi"/>
        </w:rPr>
      </w:pPr>
    </w:p>
    <w:p w14:paraId="3143B584" w14:textId="77777777" w:rsidR="003C788D" w:rsidRPr="00546D2E" w:rsidRDefault="003C788D" w:rsidP="003C788D">
      <w:pPr>
        <w:rPr>
          <w:rFonts w:asciiTheme="minorHAnsi" w:hAnsiTheme="minorHAnsi" w:cstheme="minorHAnsi"/>
        </w:rPr>
      </w:pPr>
      <w:r w:rsidRPr="00546D2E">
        <w:rPr>
          <w:rFonts w:asciiTheme="minorHAnsi" w:hAnsiTheme="minorHAnsi" w:cstheme="minorHAnsi"/>
          <w:i/>
        </w:rPr>
        <w:t>Effective communication with the client; setting the goals of representation:</w:t>
      </w:r>
      <w:r w:rsidRPr="00546D2E">
        <w:rPr>
          <w:rStyle w:val="FootnoteReference"/>
          <w:rFonts w:asciiTheme="minorHAnsi" w:hAnsiTheme="minorHAnsi" w:cstheme="minorHAnsi"/>
          <w:i/>
        </w:rPr>
        <w:footnoteReference w:id="9"/>
      </w:r>
      <w:r w:rsidRPr="00546D2E">
        <w:rPr>
          <w:rFonts w:asciiTheme="minorHAnsi" w:hAnsiTheme="minorHAnsi" w:cstheme="minorHAnsi"/>
          <w:i/>
        </w:rPr>
        <w:t xml:space="preserve">  </w:t>
      </w:r>
      <w:r w:rsidRPr="00546D2E">
        <w:rPr>
          <w:rFonts w:asciiTheme="minorHAnsi" w:hAnsiTheme="minorHAnsi" w:cstheme="minorHAnsi"/>
        </w:rPr>
        <w:t xml:space="preserve">Defense attorneys must effectively communicate with the client, allow the client to set the goals of representation and consult with the client about how those goals will be achieved. RPC 1.2, 1.4.  Youth clients process information differently than adults, so factor this in when having discussions about the case. Because of their developmental level, youth clients may have a hard time making important decisions in the course of representation. Adolescents think about time much differently than adults – they are more likely to consider short term gratification rather than long term consequences.  These clients may also have a skewed sense of the chance of success at trial as well as the outcome if they lose. Youth are often used to deferring to the opinions of adults on such difficult decisions. </w:t>
      </w:r>
    </w:p>
    <w:p w14:paraId="0D974559" w14:textId="77777777" w:rsidR="003C788D" w:rsidRPr="00546D2E" w:rsidRDefault="003C788D" w:rsidP="003C788D">
      <w:pPr>
        <w:rPr>
          <w:rFonts w:asciiTheme="minorHAnsi" w:hAnsiTheme="minorHAnsi" w:cstheme="minorHAnsi"/>
        </w:rPr>
      </w:pPr>
    </w:p>
    <w:p w14:paraId="7F4C2A3D"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Some helpful communication strategies include:</w:t>
      </w:r>
    </w:p>
    <w:p w14:paraId="27FD6E3B" w14:textId="77777777" w:rsidR="003C788D" w:rsidRPr="00546D2E" w:rsidRDefault="003C788D" w:rsidP="003C788D">
      <w:pPr>
        <w:numPr>
          <w:ilvl w:val="0"/>
          <w:numId w:val="8"/>
        </w:numPr>
        <w:rPr>
          <w:rFonts w:asciiTheme="minorHAnsi" w:hAnsiTheme="minorHAnsi" w:cstheme="minorHAnsi"/>
        </w:rPr>
      </w:pPr>
      <w:r w:rsidRPr="00546D2E">
        <w:rPr>
          <w:rFonts w:asciiTheme="minorHAnsi" w:hAnsiTheme="minorHAnsi" w:cstheme="minorHAnsi"/>
        </w:rPr>
        <w:t>Allow for plenty of face time with the client. Young clients need more time with their attorney than adult clients.</w:t>
      </w:r>
    </w:p>
    <w:p w14:paraId="407AA1E1" w14:textId="77777777" w:rsidR="003C788D" w:rsidRPr="00546D2E" w:rsidRDefault="003C788D" w:rsidP="003C788D">
      <w:pPr>
        <w:numPr>
          <w:ilvl w:val="0"/>
          <w:numId w:val="8"/>
        </w:numPr>
        <w:rPr>
          <w:rFonts w:asciiTheme="minorHAnsi" w:hAnsiTheme="minorHAnsi" w:cstheme="minorHAnsi"/>
        </w:rPr>
      </w:pPr>
      <w:r w:rsidRPr="00546D2E">
        <w:rPr>
          <w:rFonts w:asciiTheme="minorHAnsi" w:hAnsiTheme="minorHAnsi" w:cstheme="minorHAnsi"/>
        </w:rPr>
        <w:t>Make charts or decision trees with the client to explain the court process or procedure and let the client keep these to refer back to later.</w:t>
      </w:r>
    </w:p>
    <w:p w14:paraId="3BA1036A" w14:textId="77777777" w:rsidR="003C788D" w:rsidRPr="00546D2E" w:rsidRDefault="003C788D" w:rsidP="003C788D">
      <w:pPr>
        <w:numPr>
          <w:ilvl w:val="0"/>
          <w:numId w:val="8"/>
        </w:numPr>
        <w:rPr>
          <w:rFonts w:asciiTheme="minorHAnsi" w:hAnsiTheme="minorHAnsi" w:cstheme="minorHAnsi"/>
        </w:rPr>
      </w:pPr>
      <w:r w:rsidRPr="00546D2E">
        <w:rPr>
          <w:rFonts w:asciiTheme="minorHAnsi" w:hAnsiTheme="minorHAnsi" w:cstheme="minorHAnsi"/>
        </w:rPr>
        <w:t xml:space="preserve">With respect to assessing the risk of going to trial, make a chart of the evidence the state will produce at trial followed by defense counsel’s response to all of that evidence and any defense evidence.  </w:t>
      </w:r>
    </w:p>
    <w:p w14:paraId="2B0CC8B5" w14:textId="77777777" w:rsidR="003C788D" w:rsidRPr="00546D2E" w:rsidRDefault="003C788D" w:rsidP="003C788D">
      <w:pPr>
        <w:numPr>
          <w:ilvl w:val="0"/>
          <w:numId w:val="8"/>
        </w:numPr>
        <w:rPr>
          <w:rFonts w:asciiTheme="minorHAnsi" w:hAnsiTheme="minorHAnsi" w:cstheme="minorHAnsi"/>
        </w:rPr>
      </w:pPr>
      <w:r w:rsidRPr="00546D2E">
        <w:rPr>
          <w:rFonts w:asciiTheme="minorHAnsi" w:hAnsiTheme="minorHAnsi" w:cstheme="minorHAnsi"/>
        </w:rPr>
        <w:lastRenderedPageBreak/>
        <w:t xml:space="preserve">Make a pros/cons chart when considering risks/outcomes of going to trial.  Let the client hold on to these charts and diagrams so they can reference them whenever necessary.  </w:t>
      </w:r>
    </w:p>
    <w:p w14:paraId="247CA15F" w14:textId="77777777" w:rsidR="003C788D" w:rsidRPr="00546D2E" w:rsidRDefault="003C788D" w:rsidP="003C788D">
      <w:pPr>
        <w:numPr>
          <w:ilvl w:val="0"/>
          <w:numId w:val="8"/>
        </w:numPr>
        <w:rPr>
          <w:rFonts w:asciiTheme="minorHAnsi" w:hAnsiTheme="minorHAnsi" w:cstheme="minorHAnsi"/>
        </w:rPr>
      </w:pPr>
      <w:r w:rsidRPr="00546D2E">
        <w:rPr>
          <w:rFonts w:asciiTheme="minorHAnsi" w:hAnsiTheme="minorHAnsi" w:cstheme="minorHAnsi"/>
        </w:rPr>
        <w:t>When the client makes a decision, have the client explain the rationale and potential consequences so that the lawyer can tell if the client is making an informed decision.</w:t>
      </w:r>
    </w:p>
    <w:p w14:paraId="5C477647" w14:textId="77777777" w:rsidR="003C788D" w:rsidRPr="00546D2E" w:rsidRDefault="003C788D" w:rsidP="003C788D">
      <w:pPr>
        <w:numPr>
          <w:ilvl w:val="0"/>
          <w:numId w:val="8"/>
        </w:numPr>
        <w:rPr>
          <w:rFonts w:asciiTheme="minorHAnsi" w:hAnsiTheme="minorHAnsi" w:cstheme="minorHAnsi"/>
        </w:rPr>
      </w:pPr>
      <w:r w:rsidRPr="00546D2E">
        <w:rPr>
          <w:rFonts w:asciiTheme="minorHAnsi" w:hAnsiTheme="minorHAnsi" w:cstheme="minorHAnsi"/>
        </w:rPr>
        <w:t>Make sure your client has plenty of time to process information and consider choices, such a decision to plead guilty or go to trial.</w:t>
      </w:r>
      <w:r w:rsidRPr="00546D2E">
        <w:rPr>
          <w:rStyle w:val="FootnoteReference"/>
          <w:rFonts w:asciiTheme="minorHAnsi" w:hAnsiTheme="minorHAnsi" w:cstheme="minorHAnsi"/>
        </w:rPr>
        <w:footnoteReference w:id="10"/>
      </w:r>
    </w:p>
    <w:p w14:paraId="3C91678C" w14:textId="77777777" w:rsidR="003C788D" w:rsidRPr="00546D2E" w:rsidRDefault="003C788D" w:rsidP="003C788D">
      <w:pPr>
        <w:rPr>
          <w:rFonts w:asciiTheme="minorHAnsi" w:hAnsiTheme="minorHAnsi" w:cstheme="minorHAnsi"/>
          <w:i/>
        </w:rPr>
      </w:pPr>
    </w:p>
    <w:p w14:paraId="313E32F6" w14:textId="77777777" w:rsidR="003C788D" w:rsidRPr="00546D2E" w:rsidRDefault="003C788D" w:rsidP="003C788D">
      <w:pPr>
        <w:rPr>
          <w:rFonts w:asciiTheme="minorHAnsi" w:hAnsiTheme="minorHAnsi" w:cstheme="minorHAnsi"/>
          <w:u w:val="single"/>
        </w:rPr>
      </w:pPr>
      <w:r w:rsidRPr="00546D2E">
        <w:rPr>
          <w:rFonts w:asciiTheme="minorHAnsi" w:hAnsiTheme="minorHAnsi" w:cstheme="minorHAnsi"/>
          <w:i/>
        </w:rPr>
        <w:t xml:space="preserve">Competency </w:t>
      </w:r>
      <w:r w:rsidRPr="00546D2E">
        <w:rPr>
          <w:rStyle w:val="FootnoteReference"/>
          <w:rFonts w:asciiTheme="minorHAnsi" w:hAnsiTheme="minorHAnsi" w:cstheme="minorHAnsi"/>
          <w:i/>
        </w:rPr>
        <w:footnoteReference w:id="11"/>
      </w:r>
      <w:r w:rsidRPr="00546D2E">
        <w:rPr>
          <w:rFonts w:asciiTheme="minorHAnsi" w:hAnsiTheme="minorHAnsi" w:cstheme="minorHAnsi"/>
          <w:i/>
        </w:rPr>
        <w:t xml:space="preserve"> – </w:t>
      </w:r>
      <w:r w:rsidRPr="00546D2E">
        <w:rPr>
          <w:rFonts w:asciiTheme="minorHAnsi" w:hAnsiTheme="minorHAnsi" w:cstheme="minorHAnsi"/>
        </w:rPr>
        <w:t>Youth who are</w:t>
      </w:r>
      <w:r w:rsidRPr="00546D2E">
        <w:rPr>
          <w:rFonts w:asciiTheme="minorHAnsi" w:hAnsiTheme="minorHAnsi" w:cstheme="minorHAnsi"/>
          <w:i/>
        </w:rPr>
        <w:t xml:space="preserve"> </w:t>
      </w:r>
      <w:r w:rsidRPr="00546D2E">
        <w:rPr>
          <w:rFonts w:asciiTheme="minorHAnsi" w:hAnsiTheme="minorHAnsi" w:cstheme="minorHAnsi"/>
        </w:rPr>
        <w:t xml:space="preserve">15 or under are at greater risk for incompetence, even more so if there is a history of a learning disability or mental illness requiring treatment or history of IQ below 75.  Youth clients may not have a good understanding of court processes and procedures.  Even if </w:t>
      </w:r>
      <w:r w:rsidRPr="00546D2E">
        <w:rPr>
          <w:rFonts w:asciiTheme="minorHAnsi" w:hAnsiTheme="minorHAnsi" w:cstheme="minorHAnsi"/>
          <w:u w:val="single"/>
        </w:rPr>
        <w:t>they do understand the various roles of the parties, they may lack competency to make thoughtful reasoned decisions with respect to their case (</w:t>
      </w:r>
      <w:r w:rsidRPr="00546D2E">
        <w:rPr>
          <w:rFonts w:asciiTheme="minorHAnsi" w:hAnsiTheme="minorHAnsi" w:cstheme="minorHAnsi"/>
          <w:i/>
          <w:u w:val="single"/>
        </w:rPr>
        <w:t xml:space="preserve">e.g., </w:t>
      </w:r>
      <w:r w:rsidRPr="00546D2E">
        <w:rPr>
          <w:rFonts w:asciiTheme="minorHAnsi" w:hAnsiTheme="minorHAnsi" w:cstheme="minorHAnsi"/>
          <w:u w:val="single"/>
        </w:rPr>
        <w:t xml:space="preserve">what to tell their lawyer).  </w:t>
      </w:r>
    </w:p>
    <w:p w14:paraId="3A35DDAF" w14:textId="77777777" w:rsidR="003C788D" w:rsidRPr="00546D2E" w:rsidRDefault="003C788D" w:rsidP="003C788D">
      <w:pPr>
        <w:rPr>
          <w:rFonts w:asciiTheme="minorHAnsi" w:hAnsiTheme="minorHAnsi" w:cstheme="minorHAnsi"/>
          <w:b/>
          <w:i/>
          <w:u w:val="single"/>
        </w:rPr>
      </w:pPr>
    </w:p>
    <w:p w14:paraId="3F866601" w14:textId="77777777" w:rsidR="003C788D" w:rsidRPr="00546D2E" w:rsidRDefault="003C788D" w:rsidP="003C788D">
      <w:pPr>
        <w:rPr>
          <w:rFonts w:asciiTheme="minorHAnsi" w:hAnsiTheme="minorHAnsi" w:cstheme="minorHAnsi"/>
        </w:rPr>
      </w:pPr>
      <w:r w:rsidRPr="00546D2E">
        <w:rPr>
          <w:rFonts w:asciiTheme="minorHAnsi" w:hAnsiTheme="minorHAnsi" w:cstheme="minorHAnsi"/>
          <w:b/>
          <w:i/>
          <w:u w:val="single"/>
        </w:rPr>
        <w:t>Mitigation - Plea Bargain</w:t>
      </w:r>
      <w:r w:rsidRPr="00546D2E">
        <w:rPr>
          <w:rFonts w:asciiTheme="minorHAnsi" w:hAnsiTheme="minorHAnsi" w:cstheme="minorHAnsi"/>
          <w:b/>
          <w:i/>
        </w:rPr>
        <w:t>:</w:t>
      </w:r>
      <w:r w:rsidRPr="00546D2E">
        <w:rPr>
          <w:rStyle w:val="FootnoteReference"/>
          <w:rFonts w:asciiTheme="minorHAnsi" w:hAnsiTheme="minorHAnsi" w:cstheme="minorHAnsi"/>
          <w:b/>
          <w:i/>
        </w:rPr>
        <w:footnoteReference w:id="12"/>
      </w:r>
      <w:r w:rsidRPr="00546D2E">
        <w:rPr>
          <w:rFonts w:asciiTheme="minorHAnsi" w:hAnsiTheme="minorHAnsi" w:cstheme="minorHAnsi"/>
          <w:b/>
        </w:rPr>
        <w:t xml:space="preserve">  </w:t>
      </w:r>
      <w:r w:rsidRPr="00546D2E">
        <w:rPr>
          <w:rFonts w:asciiTheme="minorHAnsi" w:hAnsiTheme="minorHAnsi" w:cstheme="minorHAnsi"/>
        </w:rPr>
        <w:t>Brain development research supports the principle that youth are less culpable due to their age and more likely to be transformed and rehabilitated than adults.  The traits of adolescence will fade with age. Gather and present evidence to show your client was not fully developed in plea negotiations, including efforts to remand an auto-declined case to juvenile court.</w:t>
      </w:r>
    </w:p>
    <w:p w14:paraId="22040FA1" w14:textId="77777777" w:rsidR="003C788D" w:rsidRPr="00546D2E" w:rsidRDefault="003C788D" w:rsidP="003C788D">
      <w:pPr>
        <w:rPr>
          <w:rFonts w:asciiTheme="minorHAnsi" w:hAnsiTheme="minorHAnsi" w:cstheme="minorHAnsi"/>
          <w:i/>
          <w:u w:val="single"/>
        </w:rPr>
      </w:pPr>
    </w:p>
    <w:p w14:paraId="10D8501C" w14:textId="77777777" w:rsidR="003C788D" w:rsidRPr="00546D2E" w:rsidRDefault="003C788D" w:rsidP="003C788D">
      <w:pPr>
        <w:rPr>
          <w:rFonts w:asciiTheme="minorHAnsi" w:hAnsiTheme="minorHAnsi" w:cstheme="minorHAnsi"/>
          <w:i/>
        </w:rPr>
      </w:pPr>
      <w:r w:rsidRPr="00546D2E">
        <w:rPr>
          <w:rFonts w:asciiTheme="minorHAnsi" w:hAnsiTheme="minorHAnsi" w:cstheme="minorHAnsi"/>
          <w:i/>
        </w:rPr>
        <w:t xml:space="preserve">Remand to Juvenile Court - </w:t>
      </w:r>
      <w:r w:rsidRPr="00546D2E">
        <w:rPr>
          <w:rFonts w:asciiTheme="minorHAnsi" w:hAnsiTheme="minorHAnsi" w:cstheme="minorHAnsi"/>
        </w:rPr>
        <w:t>Auto-decline cases can go back to juvenile</w:t>
      </w:r>
      <w:r w:rsidRPr="00546D2E">
        <w:rPr>
          <w:rFonts w:asciiTheme="minorHAnsi" w:hAnsiTheme="minorHAnsi" w:cstheme="minorHAnsi"/>
          <w:i/>
        </w:rPr>
        <w:t xml:space="preserve"> </w:t>
      </w:r>
      <w:r w:rsidRPr="00546D2E">
        <w:rPr>
          <w:rFonts w:asciiTheme="minorHAnsi" w:hAnsiTheme="minorHAnsi" w:cstheme="minorHAnsi"/>
        </w:rPr>
        <w:t>court two ways</w:t>
      </w:r>
      <w:r w:rsidRPr="00546D2E">
        <w:rPr>
          <w:rFonts w:asciiTheme="minorHAnsi" w:hAnsiTheme="minorHAnsi" w:cstheme="minorHAnsi"/>
          <w:i/>
        </w:rPr>
        <w:t>:</w:t>
      </w:r>
    </w:p>
    <w:p w14:paraId="5585F3A0" w14:textId="77777777" w:rsidR="003C788D" w:rsidRPr="00546D2E" w:rsidRDefault="003C788D" w:rsidP="003C788D">
      <w:pPr>
        <w:numPr>
          <w:ilvl w:val="0"/>
          <w:numId w:val="5"/>
        </w:numPr>
        <w:rPr>
          <w:rFonts w:asciiTheme="minorHAnsi" w:hAnsiTheme="minorHAnsi" w:cstheme="minorHAnsi"/>
        </w:rPr>
      </w:pPr>
      <w:r w:rsidRPr="00546D2E">
        <w:rPr>
          <w:rFonts w:asciiTheme="minorHAnsi" w:hAnsiTheme="minorHAnsi" w:cstheme="minorHAnsi"/>
        </w:rPr>
        <w:t xml:space="preserve">Auto-decline cases can return to juvenile court </w:t>
      </w:r>
      <w:r w:rsidRPr="00546D2E">
        <w:rPr>
          <w:rFonts w:asciiTheme="minorHAnsi" w:hAnsiTheme="minorHAnsi" w:cstheme="minorHAnsi"/>
          <w:u w:val="single"/>
        </w:rPr>
        <w:t>upon the agreement of the prosecutor</w:t>
      </w:r>
      <w:r w:rsidRPr="00546D2E">
        <w:rPr>
          <w:rFonts w:asciiTheme="minorHAnsi" w:hAnsiTheme="minorHAnsi" w:cstheme="minorHAnsi"/>
        </w:rPr>
        <w:t xml:space="preserve"> without having to amend the charges. </w:t>
      </w:r>
      <w:hyperlink r:id="rId9" w:history="1"/>
      <w:r w:rsidRPr="00546D2E">
        <w:rPr>
          <w:rStyle w:val="FootnoteReference"/>
          <w:rFonts w:asciiTheme="minorHAnsi" w:hAnsiTheme="minorHAnsi" w:cstheme="minorHAnsi"/>
        </w:rPr>
        <w:footnoteReference w:id="13"/>
      </w:r>
    </w:p>
    <w:p w14:paraId="0EE01679" w14:textId="77777777" w:rsidR="003C788D" w:rsidRPr="00546D2E" w:rsidRDefault="003C788D" w:rsidP="003C788D">
      <w:pPr>
        <w:numPr>
          <w:ilvl w:val="0"/>
          <w:numId w:val="5"/>
        </w:numPr>
        <w:rPr>
          <w:rFonts w:asciiTheme="minorHAnsi" w:hAnsiTheme="minorHAnsi" w:cstheme="minorHAnsi"/>
        </w:rPr>
      </w:pPr>
      <w:r w:rsidRPr="00546D2E">
        <w:rPr>
          <w:rFonts w:asciiTheme="minorHAnsi" w:hAnsiTheme="minorHAnsi" w:cstheme="minorHAnsi"/>
          <w:u w:val="single"/>
        </w:rPr>
        <w:t>Amendment to or conviction of non-auto-decline charge</w:t>
      </w:r>
      <w:r w:rsidRPr="00546D2E">
        <w:rPr>
          <w:rFonts w:asciiTheme="minorHAnsi" w:hAnsiTheme="minorHAnsi" w:cstheme="minorHAnsi"/>
          <w:i/>
        </w:rPr>
        <w:t xml:space="preserve">:  </w:t>
      </w:r>
      <w:r w:rsidRPr="00546D2E">
        <w:rPr>
          <w:rFonts w:asciiTheme="minorHAnsi" w:hAnsiTheme="minorHAnsi" w:cstheme="minorHAnsi"/>
        </w:rPr>
        <w:t xml:space="preserve">If the State initially charges an offense that triggers auto decline, but later amends the information to charge an offense that does not automatically grant jurisdiction to the superior court, the juvenile court obtains jurisdiction over the case. </w:t>
      </w:r>
      <w:r w:rsidRPr="00546D2E">
        <w:rPr>
          <w:rFonts w:asciiTheme="minorHAnsi" w:hAnsiTheme="minorHAnsi" w:cstheme="minorHAnsi"/>
          <w:u w:val="single"/>
        </w:rPr>
        <w:t>State v. Mora,</w:t>
      </w:r>
      <w:r w:rsidRPr="00546D2E">
        <w:rPr>
          <w:rFonts w:asciiTheme="minorHAnsi" w:hAnsiTheme="minorHAnsi" w:cstheme="minorHAnsi"/>
        </w:rPr>
        <w:t xml:space="preserve"> 138 Wn.2d 43, 47, 977 P.2d 564 (1999). If the juvenile is convicted of crimes that do not provide superior court jurisdiction, they should be remanded to juvenile court.  RCW 13.04.030.</w:t>
      </w:r>
    </w:p>
    <w:p w14:paraId="45CACF29" w14:textId="77777777" w:rsidR="003C788D" w:rsidRPr="00546D2E" w:rsidRDefault="003C788D" w:rsidP="003C788D">
      <w:pPr>
        <w:rPr>
          <w:rFonts w:asciiTheme="minorHAnsi" w:hAnsiTheme="minorHAnsi" w:cstheme="minorHAnsi"/>
        </w:rPr>
      </w:pPr>
    </w:p>
    <w:p w14:paraId="107A425F" w14:textId="77777777" w:rsidR="003C788D" w:rsidRPr="00546D2E" w:rsidRDefault="003C788D" w:rsidP="003C788D">
      <w:pPr>
        <w:rPr>
          <w:rFonts w:asciiTheme="minorHAnsi" w:hAnsiTheme="minorHAnsi" w:cstheme="minorHAnsi"/>
        </w:rPr>
      </w:pPr>
      <w:r w:rsidRPr="004721D7">
        <w:rPr>
          <w:rFonts w:asciiTheme="minorHAnsi" w:hAnsiTheme="minorHAnsi" w:cstheme="minorHAnsi"/>
          <w:b/>
          <w:i/>
        </w:rPr>
        <w:lastRenderedPageBreak/>
        <w:t>Challenge to the Evidence at Trial</w:t>
      </w:r>
      <w:r w:rsidRPr="00546D2E">
        <w:rPr>
          <w:rFonts w:asciiTheme="minorHAnsi" w:hAnsiTheme="minorHAnsi" w:cstheme="minorHAnsi"/>
        </w:rPr>
        <w:t xml:space="preserve">:  Adolescent brain development may be relevant to issues of mens rea, foreseeability, and possible defenses.  If in </w:t>
      </w:r>
      <w:r w:rsidRPr="00964B2A">
        <w:rPr>
          <w:rFonts w:asciiTheme="minorHAnsi" w:hAnsiTheme="minorHAnsi" w:cstheme="minorHAnsi"/>
          <w:i/>
        </w:rPr>
        <w:t>JDB v. North Carolina</w:t>
      </w:r>
      <w:r w:rsidRPr="00546D2E">
        <w:rPr>
          <w:rFonts w:asciiTheme="minorHAnsi" w:hAnsiTheme="minorHAnsi" w:cstheme="minorHAnsi"/>
        </w:rPr>
        <w:t>, the age of the youth was a relevant factor in determining whether a “reasonable person” would think they were in custody. Other evidentiary issues may also include consideration of the age of a youth:</w:t>
      </w:r>
    </w:p>
    <w:p w14:paraId="3D50EE42" w14:textId="77777777" w:rsidR="003C788D" w:rsidRPr="00546D2E" w:rsidRDefault="003C788D" w:rsidP="003C788D">
      <w:pPr>
        <w:numPr>
          <w:ilvl w:val="0"/>
          <w:numId w:val="4"/>
        </w:numPr>
        <w:rPr>
          <w:rFonts w:asciiTheme="minorHAnsi" w:hAnsiTheme="minorHAnsi" w:cstheme="minorHAnsi"/>
        </w:rPr>
      </w:pPr>
      <w:r w:rsidRPr="00546D2E">
        <w:rPr>
          <w:rFonts w:asciiTheme="minorHAnsi" w:hAnsiTheme="minorHAnsi" w:cstheme="minorHAnsi"/>
        </w:rPr>
        <w:t>Negligence, recklessness, or other places where a “reasonable person” standard is applied;</w:t>
      </w:r>
    </w:p>
    <w:p w14:paraId="64D13935"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Intentional acts (i.e., murder, assault)</w:t>
      </w:r>
    </w:p>
    <w:p w14:paraId="498CA149"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Felony murder</w:t>
      </w:r>
    </w:p>
    <w:p w14:paraId="3314511A"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Provocation by peers</w:t>
      </w:r>
    </w:p>
    <w:p w14:paraId="2D781548"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 xml:space="preserve">Self-defense </w:t>
      </w:r>
    </w:p>
    <w:p w14:paraId="72D545E4"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 xml:space="preserve">Duress </w:t>
      </w:r>
    </w:p>
    <w:p w14:paraId="7AE73AC1"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Accomplice liability- did they know what their actions would accomplish</w:t>
      </w:r>
    </w:p>
    <w:p w14:paraId="13C5F2EE" w14:textId="77777777" w:rsidR="003C788D" w:rsidRPr="00546D2E" w:rsidRDefault="003C788D" w:rsidP="003C788D">
      <w:pPr>
        <w:pStyle w:val="ListParagraph"/>
        <w:numPr>
          <w:ilvl w:val="0"/>
          <w:numId w:val="3"/>
        </w:numPr>
        <w:rPr>
          <w:rFonts w:asciiTheme="minorHAnsi" w:hAnsiTheme="minorHAnsi" w:cstheme="minorHAnsi"/>
          <w:sz w:val="24"/>
          <w:szCs w:val="24"/>
        </w:rPr>
      </w:pPr>
      <w:r w:rsidRPr="00546D2E">
        <w:rPr>
          <w:rFonts w:asciiTheme="minorHAnsi" w:hAnsiTheme="minorHAnsi" w:cstheme="minorHAnsi"/>
          <w:sz w:val="24"/>
          <w:szCs w:val="24"/>
        </w:rPr>
        <w:t>Voluntariness in waiver of any rights- carefully consider with confessions, searches and seizures.</w:t>
      </w:r>
    </w:p>
    <w:p w14:paraId="2C054ED5" w14:textId="77777777" w:rsidR="003C788D" w:rsidRPr="00546D2E" w:rsidRDefault="003C788D" w:rsidP="003C788D">
      <w:pPr>
        <w:rPr>
          <w:rFonts w:asciiTheme="minorHAnsi" w:hAnsiTheme="minorHAnsi" w:cstheme="minorHAnsi"/>
        </w:rPr>
      </w:pPr>
      <w:r w:rsidRPr="00546D2E">
        <w:rPr>
          <w:rFonts w:asciiTheme="minorHAnsi" w:hAnsiTheme="minorHAnsi" w:cstheme="minorHAnsi"/>
          <w:i/>
        </w:rPr>
        <w:t>Jury Instructions</w:t>
      </w:r>
      <w:r w:rsidRPr="00546D2E">
        <w:rPr>
          <w:rFonts w:asciiTheme="minorHAnsi" w:hAnsiTheme="minorHAnsi" w:cstheme="minorHAnsi"/>
        </w:rPr>
        <w:t>: Consider asking for an instruction for a “reasonable juvenile” where there is any language involving foreseeability or a reasonable person.</w:t>
      </w:r>
    </w:p>
    <w:p w14:paraId="62AE07F6" w14:textId="77777777" w:rsidR="003C788D" w:rsidRPr="00546D2E" w:rsidRDefault="003C788D" w:rsidP="003C788D">
      <w:pPr>
        <w:rPr>
          <w:rFonts w:asciiTheme="minorHAnsi" w:hAnsiTheme="minorHAnsi" w:cstheme="minorHAnsi"/>
        </w:rPr>
      </w:pPr>
    </w:p>
    <w:p w14:paraId="49744641" w14:textId="77777777" w:rsidR="003C788D" w:rsidRPr="00546D2E" w:rsidRDefault="003C788D" w:rsidP="003C788D">
      <w:pPr>
        <w:rPr>
          <w:rFonts w:asciiTheme="minorHAnsi" w:hAnsiTheme="minorHAnsi" w:cstheme="minorHAnsi"/>
        </w:rPr>
      </w:pPr>
      <w:r w:rsidRPr="004721D7">
        <w:rPr>
          <w:rFonts w:asciiTheme="minorHAnsi" w:hAnsiTheme="minorHAnsi" w:cstheme="minorHAnsi"/>
          <w:b/>
          <w:i/>
        </w:rPr>
        <w:t>Use of Experts</w:t>
      </w:r>
      <w:r w:rsidRPr="00546D2E">
        <w:rPr>
          <w:rFonts w:asciiTheme="minorHAnsi" w:hAnsiTheme="minorHAnsi" w:cstheme="minorHAnsi"/>
          <w:i/>
        </w:rPr>
        <w:t xml:space="preserve">. </w:t>
      </w:r>
      <w:r w:rsidRPr="00546D2E">
        <w:rPr>
          <w:rFonts w:asciiTheme="minorHAnsi" w:hAnsiTheme="minorHAnsi" w:cstheme="minorHAnsi"/>
        </w:rPr>
        <w:t xml:space="preserve">The adolescent brain development and behavioral research is very general and applies to most adolescents, but not all.  To apply this research to your case consider using a forensic mental health expert to assesses your client’s developmental status and tie the case facts and circumstances to the science surrounding adolescent development. </w:t>
      </w:r>
      <w:r w:rsidRPr="00546D2E">
        <w:rPr>
          <w:rFonts w:asciiTheme="minorHAnsi" w:hAnsiTheme="minorHAnsi" w:cstheme="minorHAnsi"/>
          <w:i/>
          <w:u w:val="single"/>
        </w:rPr>
        <w:t>Be sure your expert specializes in adolescent development</w:t>
      </w:r>
      <w:r w:rsidRPr="00546D2E">
        <w:rPr>
          <w:rFonts w:asciiTheme="minorHAnsi" w:hAnsiTheme="minorHAnsi" w:cstheme="minorHAnsi"/>
        </w:rPr>
        <w:t>. You can’t assume that an expert that works in the adult realm is qualified to do this work.  Be sure to ask if they do developmental adolescent evaluations.  A good defense expert will need to know how to interview children – it is different than adults – they must be familiar with the brain development research and they will need to be able to place the responses and circumstances of your client into the information gleaned from the general research.</w:t>
      </w:r>
    </w:p>
    <w:p w14:paraId="0CB7F5F2" w14:textId="77777777" w:rsidR="003C788D" w:rsidRPr="00546D2E" w:rsidRDefault="003C788D" w:rsidP="003C788D">
      <w:pPr>
        <w:rPr>
          <w:rFonts w:asciiTheme="minorHAnsi" w:hAnsiTheme="minorHAnsi" w:cstheme="minorHAnsi"/>
          <w:i/>
        </w:rPr>
      </w:pPr>
    </w:p>
    <w:p w14:paraId="0862FF96" w14:textId="77777777" w:rsidR="003C788D" w:rsidRPr="00546D2E" w:rsidRDefault="003C788D" w:rsidP="003C788D">
      <w:pPr>
        <w:rPr>
          <w:rFonts w:asciiTheme="minorHAnsi" w:hAnsiTheme="minorHAnsi" w:cstheme="minorHAnsi"/>
        </w:rPr>
      </w:pPr>
      <w:r w:rsidRPr="004721D7">
        <w:rPr>
          <w:rFonts w:asciiTheme="minorHAnsi" w:hAnsiTheme="minorHAnsi" w:cstheme="minorHAnsi"/>
          <w:b/>
          <w:i/>
        </w:rPr>
        <w:t>Age as Mitigation at Sentencing</w:t>
      </w:r>
      <w:r w:rsidRPr="004F2CC3">
        <w:rPr>
          <w:rFonts w:asciiTheme="minorHAnsi" w:hAnsiTheme="minorHAnsi" w:cstheme="minorHAnsi"/>
          <w:i/>
        </w:rPr>
        <w:t>: St v. O’Dell</w:t>
      </w:r>
      <w:r w:rsidRPr="00546D2E">
        <w:rPr>
          <w:rFonts w:asciiTheme="minorHAnsi" w:hAnsiTheme="minorHAnsi" w:cstheme="minorHAnsi"/>
          <w:i/>
        </w:rPr>
        <w:t xml:space="preserve"> </w:t>
      </w:r>
      <w:r w:rsidRPr="00546D2E">
        <w:rPr>
          <w:rStyle w:val="FootnoteReference"/>
          <w:rFonts w:asciiTheme="minorHAnsi" w:hAnsiTheme="minorHAnsi" w:cstheme="minorHAnsi"/>
        </w:rPr>
        <w:footnoteReference w:id="14"/>
      </w:r>
      <w:r w:rsidRPr="00546D2E">
        <w:rPr>
          <w:rFonts w:asciiTheme="minorHAnsi" w:hAnsiTheme="minorHAnsi" w:cstheme="minorHAnsi"/>
        </w:rPr>
        <w:t xml:space="preserve"> held that trial courts can consider a defendant’s age/youth and the impact immature development has on criminal culpability.  Depending on the type of case and facts present, numerous possible bases exist to argue that an adolescent client is less culpable and that age and development are relevant and merit leniency.  An expert’s evaluation and opinion about your individual client is the most compelling evidence to support this conclusion, but an expert is not required in every case</w:t>
      </w:r>
      <w:r w:rsidRPr="00546D2E">
        <w:rPr>
          <w:rStyle w:val="FootnoteReference"/>
          <w:rFonts w:asciiTheme="minorHAnsi" w:hAnsiTheme="minorHAnsi" w:cstheme="minorHAnsi"/>
        </w:rPr>
        <w:footnoteReference w:id="15"/>
      </w:r>
      <w:r w:rsidRPr="00546D2E">
        <w:rPr>
          <w:rFonts w:asciiTheme="minorHAnsi" w:hAnsiTheme="minorHAnsi" w:cstheme="minorHAnsi"/>
        </w:rPr>
        <w:t>.</w:t>
      </w:r>
      <w:r w:rsidRPr="00546D2E">
        <w:rPr>
          <w:rStyle w:val="FootnoteReference"/>
          <w:rFonts w:asciiTheme="minorHAnsi" w:hAnsiTheme="minorHAnsi" w:cstheme="minorHAnsi"/>
        </w:rPr>
        <w:footnoteReference w:id="16"/>
      </w:r>
    </w:p>
    <w:p w14:paraId="58F3D995" w14:textId="77777777" w:rsidR="003C788D" w:rsidRPr="00546D2E" w:rsidRDefault="003C788D" w:rsidP="003C788D">
      <w:pPr>
        <w:rPr>
          <w:rFonts w:asciiTheme="minorHAnsi" w:hAnsiTheme="minorHAnsi" w:cstheme="minorHAnsi"/>
        </w:rPr>
      </w:pPr>
    </w:p>
    <w:p w14:paraId="1DEF1CE5"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In Washington, RCW 9.94A.535(1) lists reasons the court can depart downward when sentencing in a felony matter.  The list is illustrative only. Adolescent brain development can be argued as a solid basis on its own to justify a departure.</w:t>
      </w:r>
      <w:r w:rsidRPr="00546D2E">
        <w:rPr>
          <w:rStyle w:val="FootnoteReference"/>
          <w:rFonts w:asciiTheme="minorHAnsi" w:hAnsiTheme="minorHAnsi" w:cstheme="minorHAnsi"/>
        </w:rPr>
        <w:footnoteReference w:id="17"/>
      </w:r>
      <w:r w:rsidRPr="00546D2E">
        <w:rPr>
          <w:rFonts w:asciiTheme="minorHAnsi" w:hAnsiTheme="minorHAnsi" w:cstheme="minorHAnsi"/>
        </w:rPr>
        <w:t xml:space="preserve"> Possible arguments include:</w:t>
      </w:r>
    </w:p>
    <w:p w14:paraId="79344904" w14:textId="77777777" w:rsidR="003C788D" w:rsidRPr="00546D2E" w:rsidRDefault="003C788D" w:rsidP="003C788D">
      <w:pPr>
        <w:rPr>
          <w:rFonts w:asciiTheme="minorHAnsi" w:hAnsiTheme="minorHAnsi" w:cstheme="minorHAnsi"/>
        </w:rPr>
      </w:pPr>
    </w:p>
    <w:p w14:paraId="65E217C3" w14:textId="77777777" w:rsidR="003C788D" w:rsidRPr="00546D2E" w:rsidRDefault="003C788D" w:rsidP="003C788D">
      <w:pPr>
        <w:numPr>
          <w:ilvl w:val="0"/>
          <w:numId w:val="2"/>
        </w:numPr>
        <w:rPr>
          <w:rFonts w:asciiTheme="minorHAnsi" w:hAnsiTheme="minorHAnsi" w:cstheme="minorHAnsi"/>
        </w:rPr>
      </w:pPr>
      <w:r w:rsidRPr="00546D2E">
        <w:rPr>
          <w:rFonts w:asciiTheme="minorHAnsi" w:hAnsiTheme="minorHAnsi" w:cstheme="minorHAnsi"/>
          <w:u w:val="single"/>
        </w:rPr>
        <w:t>Youth did not contemplate that his conduct would cause harm to another.</w:t>
      </w:r>
      <w:r w:rsidRPr="00546D2E">
        <w:rPr>
          <w:rFonts w:asciiTheme="minorHAnsi" w:hAnsiTheme="minorHAnsi" w:cstheme="minorHAnsi"/>
        </w:rPr>
        <w:t xml:space="preserve">  Youth are impulsive, so perhaps your client did not have time or the capacity to stop and think about his actions.  The teenage brain is like a highway under construction.  The frontal lobe (the “CEO”) is still developing.  This area of the brain is responsible for throwing the brakes on bad ideas.  Youth are sensation seekers, and they are more driven by the prospect of a positive reward than deterred by negative consequences.  </w:t>
      </w:r>
    </w:p>
    <w:p w14:paraId="2DB670AD" w14:textId="77777777" w:rsidR="003C788D" w:rsidRPr="00546D2E" w:rsidRDefault="003C788D" w:rsidP="003C788D">
      <w:pPr>
        <w:numPr>
          <w:ilvl w:val="0"/>
          <w:numId w:val="2"/>
        </w:numPr>
        <w:rPr>
          <w:rFonts w:asciiTheme="minorHAnsi" w:hAnsiTheme="minorHAnsi" w:cstheme="minorHAnsi"/>
        </w:rPr>
      </w:pPr>
      <w:r w:rsidRPr="00546D2E">
        <w:rPr>
          <w:rFonts w:asciiTheme="minorHAnsi" w:hAnsiTheme="minorHAnsi" w:cstheme="minorHAnsi"/>
          <w:u w:val="single"/>
        </w:rPr>
        <w:t xml:space="preserve">Youth acted under strong provocation. </w:t>
      </w:r>
      <w:r w:rsidRPr="00546D2E">
        <w:rPr>
          <w:rFonts w:asciiTheme="minorHAnsi" w:hAnsiTheme="minorHAnsi" w:cstheme="minorHAnsi"/>
        </w:rPr>
        <w:t>Youth are much less capable of assessing threats or risk and may overreact to a perceived threat.</w:t>
      </w:r>
    </w:p>
    <w:p w14:paraId="4B0D78B6" w14:textId="77777777" w:rsidR="003C788D" w:rsidRPr="00546D2E" w:rsidRDefault="003C788D" w:rsidP="003C788D">
      <w:pPr>
        <w:numPr>
          <w:ilvl w:val="0"/>
          <w:numId w:val="2"/>
        </w:numPr>
        <w:rPr>
          <w:rFonts w:asciiTheme="minorHAnsi" w:hAnsiTheme="minorHAnsi" w:cstheme="minorHAnsi"/>
        </w:rPr>
      </w:pPr>
      <w:r w:rsidRPr="00546D2E">
        <w:rPr>
          <w:rFonts w:asciiTheme="minorHAnsi" w:hAnsiTheme="minorHAnsi" w:cstheme="minorHAnsi"/>
          <w:u w:val="single"/>
        </w:rPr>
        <w:t>Criminal conduct was induced or facilitated by another</w:t>
      </w:r>
      <w:r w:rsidRPr="00546D2E">
        <w:rPr>
          <w:rFonts w:asciiTheme="minorHAnsi" w:hAnsiTheme="minorHAnsi" w:cstheme="minorHAnsi"/>
        </w:rPr>
        <w:t>.  Adolescent youth are highly attentive to their peers, and more susceptible to negative peer influence than positive peer influence.  Was the crime committed in a group (most youth offense are)? Was the youth being pressured by others to act?  Youth acquiesce to authority, was your client the youngest in a crowd following the lead of older kids?</w:t>
      </w:r>
    </w:p>
    <w:p w14:paraId="5EDCAC1E" w14:textId="77777777" w:rsidR="003C788D" w:rsidRPr="00546D2E" w:rsidRDefault="003C788D" w:rsidP="003C788D">
      <w:pPr>
        <w:numPr>
          <w:ilvl w:val="0"/>
          <w:numId w:val="2"/>
        </w:numPr>
        <w:rPr>
          <w:rFonts w:asciiTheme="minorHAnsi" w:hAnsiTheme="minorHAnsi" w:cstheme="minorHAnsi"/>
        </w:rPr>
      </w:pPr>
      <w:r w:rsidRPr="00546D2E">
        <w:rPr>
          <w:rFonts w:asciiTheme="minorHAnsi" w:hAnsiTheme="minorHAnsi" w:cstheme="minorHAnsi"/>
          <w:u w:val="single"/>
        </w:rPr>
        <w:t>Criminal conduct was the result of circumstances unlikely to occur again.</w:t>
      </w:r>
      <w:r w:rsidRPr="00546D2E">
        <w:rPr>
          <w:rFonts w:asciiTheme="minorHAnsi" w:hAnsiTheme="minorHAnsi" w:cstheme="minorHAnsi"/>
        </w:rPr>
        <w:t xml:space="preserve">  Youth are more likely to be transformed and rehabilitated and will grow up and out of the developmental deficits.</w:t>
      </w:r>
    </w:p>
    <w:p w14:paraId="52C3D81C" w14:textId="77777777" w:rsidR="003C788D" w:rsidRPr="00546D2E" w:rsidRDefault="003C788D" w:rsidP="003C788D">
      <w:pPr>
        <w:numPr>
          <w:ilvl w:val="0"/>
          <w:numId w:val="2"/>
        </w:numPr>
        <w:rPr>
          <w:rFonts w:asciiTheme="minorHAnsi" w:hAnsiTheme="minorHAnsi" w:cstheme="minorHAnsi"/>
        </w:rPr>
      </w:pPr>
      <w:r w:rsidRPr="00546D2E">
        <w:rPr>
          <w:rFonts w:asciiTheme="minorHAnsi" w:hAnsiTheme="minorHAnsi" w:cstheme="minorHAnsi"/>
          <w:u w:val="single"/>
        </w:rPr>
        <w:t>Youth is likely to comply with the terms of probation</w:t>
      </w:r>
      <w:r w:rsidRPr="00546D2E">
        <w:rPr>
          <w:rFonts w:asciiTheme="minorHAnsi" w:hAnsiTheme="minorHAnsi" w:cstheme="minorHAnsi"/>
        </w:rPr>
        <w:t>.  Discuss the maturation process, how the youth has done in custody or while released, show by behavior that the youth has matured while case pending.</w:t>
      </w:r>
    </w:p>
    <w:p w14:paraId="3E468283" w14:textId="77777777" w:rsidR="003C788D" w:rsidRPr="00546D2E" w:rsidRDefault="003C788D" w:rsidP="003C788D">
      <w:pPr>
        <w:numPr>
          <w:ilvl w:val="0"/>
          <w:numId w:val="2"/>
        </w:numPr>
        <w:rPr>
          <w:rFonts w:asciiTheme="minorHAnsi" w:hAnsiTheme="minorHAnsi" w:cstheme="minorHAnsi"/>
        </w:rPr>
      </w:pPr>
      <w:r w:rsidRPr="00546D2E">
        <w:rPr>
          <w:rFonts w:asciiTheme="minorHAnsi" w:hAnsiTheme="minorHAnsi" w:cstheme="minorHAnsi"/>
          <w:u w:val="single"/>
        </w:rPr>
        <w:t>Sentence is not necessary to deter others.</w:t>
      </w:r>
      <w:r w:rsidRPr="00546D2E">
        <w:rPr>
          <w:rFonts w:asciiTheme="minorHAnsi" w:hAnsiTheme="minorHAnsi" w:cstheme="minorHAnsi"/>
        </w:rPr>
        <w:t xml:space="preserve">  Studies support that lengthy sentences are not deterrent for youth.  At best harsh a sentence does nothing, at worst it will cause harm.</w:t>
      </w:r>
    </w:p>
    <w:p w14:paraId="3209BB59" w14:textId="77777777" w:rsidR="003C788D" w:rsidRPr="00546D2E" w:rsidRDefault="003C788D" w:rsidP="003C788D">
      <w:pPr>
        <w:rPr>
          <w:rFonts w:asciiTheme="minorHAnsi" w:hAnsiTheme="minorHAnsi" w:cstheme="minorHAnsi"/>
          <w:i/>
        </w:rPr>
      </w:pPr>
    </w:p>
    <w:p w14:paraId="3A65246B" w14:textId="77777777" w:rsidR="004721D7" w:rsidRPr="001B45CF" w:rsidRDefault="004721D7" w:rsidP="004721D7">
      <w:pPr>
        <w:contextualSpacing/>
        <w:rPr>
          <w:rFonts w:asciiTheme="minorHAnsi" w:hAnsiTheme="minorHAnsi" w:cstheme="minorHAnsi"/>
          <w:b/>
        </w:rPr>
      </w:pPr>
      <w:r w:rsidRPr="001B45CF">
        <w:rPr>
          <w:rFonts w:asciiTheme="minorHAnsi" w:hAnsiTheme="minorHAnsi" w:cstheme="minorHAnsi"/>
          <w:b/>
        </w:rPr>
        <w:t>Raising a Constitutional Challenge to Auto Decline:</w:t>
      </w:r>
    </w:p>
    <w:p w14:paraId="5532E39A" w14:textId="77777777" w:rsidR="004721D7" w:rsidRDefault="004721D7" w:rsidP="004721D7">
      <w:pPr>
        <w:contextualSpacing/>
        <w:rPr>
          <w:rFonts w:asciiTheme="minorHAnsi" w:hAnsiTheme="minorHAnsi" w:cstheme="minorHAnsi"/>
        </w:rPr>
      </w:pPr>
      <w:r w:rsidRPr="001B45CF">
        <w:rPr>
          <w:rFonts w:asciiTheme="minorHAnsi" w:hAnsiTheme="minorHAnsi" w:cstheme="minorHAnsi"/>
        </w:rPr>
        <w:t xml:space="preserve">The Washington Supreme Court decided </w:t>
      </w:r>
      <w:r w:rsidRPr="001B45CF">
        <w:rPr>
          <w:rFonts w:asciiTheme="minorHAnsi" w:hAnsiTheme="minorHAnsi" w:cstheme="minorHAnsi"/>
          <w:i/>
        </w:rPr>
        <w:t>In re Boot</w:t>
      </w:r>
      <w:r w:rsidRPr="001B45CF">
        <w:rPr>
          <w:rFonts w:asciiTheme="minorHAnsi" w:hAnsiTheme="minorHAnsi" w:cstheme="minorHAnsi"/>
        </w:rPr>
        <w:t>,</w:t>
      </w:r>
      <w:r w:rsidRPr="001B45CF">
        <w:rPr>
          <w:rStyle w:val="FootnoteReference"/>
          <w:rFonts w:asciiTheme="minorHAnsi" w:hAnsiTheme="minorHAnsi" w:cstheme="minorHAnsi"/>
        </w:rPr>
        <w:footnoteReference w:id="18"/>
      </w:r>
      <w:r w:rsidRPr="001B45CF">
        <w:rPr>
          <w:rFonts w:asciiTheme="minorHAnsi" w:hAnsiTheme="minorHAnsi" w:cstheme="minorHAnsi"/>
        </w:rPr>
        <w:t xml:space="preserve"> which upheld the auto-decline statute in Washington, in 1996. </w:t>
      </w:r>
      <w:r w:rsidRPr="001B45CF">
        <w:rPr>
          <w:rFonts w:asciiTheme="minorHAnsi" w:hAnsiTheme="minorHAnsi" w:cstheme="minorHAnsi"/>
          <w:i/>
        </w:rPr>
        <w:t xml:space="preserve">In re Boot </w:t>
      </w:r>
      <w:r w:rsidRPr="001B45CF">
        <w:rPr>
          <w:rFonts w:asciiTheme="minorHAnsi" w:hAnsiTheme="minorHAnsi" w:cstheme="minorHAnsi"/>
        </w:rPr>
        <w:t xml:space="preserve">relied upon cases now overruled by </w:t>
      </w:r>
      <w:r w:rsidRPr="001B45CF">
        <w:rPr>
          <w:rFonts w:asciiTheme="minorHAnsi" w:hAnsiTheme="minorHAnsi" w:cstheme="minorHAnsi"/>
          <w:i/>
        </w:rPr>
        <w:t>Graham</w:t>
      </w:r>
      <w:r w:rsidRPr="001B45CF">
        <w:rPr>
          <w:rFonts w:asciiTheme="minorHAnsi" w:hAnsiTheme="minorHAnsi" w:cstheme="minorHAnsi"/>
        </w:rPr>
        <w:t xml:space="preserve"> </w:t>
      </w:r>
      <w:r w:rsidRPr="001B45CF">
        <w:rPr>
          <w:rFonts w:asciiTheme="minorHAnsi" w:hAnsiTheme="minorHAnsi" w:cstheme="minorHAnsi"/>
          <w:i/>
        </w:rPr>
        <w:t>v. Florida</w:t>
      </w:r>
      <w:r w:rsidRPr="001B45CF">
        <w:rPr>
          <w:rStyle w:val="FootnoteReference"/>
          <w:rFonts w:asciiTheme="minorHAnsi" w:hAnsiTheme="minorHAnsi" w:cstheme="minorHAnsi"/>
        </w:rPr>
        <w:footnoteReference w:id="19"/>
      </w:r>
      <w:r w:rsidRPr="001B45CF">
        <w:rPr>
          <w:rFonts w:asciiTheme="minorHAnsi" w:hAnsiTheme="minorHAnsi" w:cstheme="minorHAnsi"/>
        </w:rPr>
        <w:t xml:space="preserve"> and </w:t>
      </w:r>
      <w:r w:rsidRPr="001B45CF">
        <w:rPr>
          <w:rFonts w:asciiTheme="minorHAnsi" w:hAnsiTheme="minorHAnsi" w:cstheme="minorHAnsi"/>
          <w:i/>
        </w:rPr>
        <w:t>Miller v. Alabama</w:t>
      </w:r>
      <w:r w:rsidRPr="001B45CF">
        <w:rPr>
          <w:rFonts w:asciiTheme="minorHAnsi" w:hAnsiTheme="minorHAnsi" w:cstheme="minorHAnsi"/>
        </w:rPr>
        <w:t xml:space="preserve">. </w:t>
      </w:r>
      <w:r w:rsidRPr="001B45CF">
        <w:rPr>
          <w:rStyle w:val="FootnoteReference"/>
          <w:rFonts w:asciiTheme="minorHAnsi" w:hAnsiTheme="minorHAnsi" w:cstheme="minorHAnsi"/>
        </w:rPr>
        <w:footnoteReference w:id="20"/>
      </w:r>
      <w:r w:rsidRPr="001B45CF">
        <w:rPr>
          <w:rFonts w:asciiTheme="minorHAnsi" w:hAnsiTheme="minorHAnsi" w:cstheme="minorHAnsi"/>
        </w:rPr>
        <w:t xml:space="preserve">  </w:t>
      </w:r>
      <w:r>
        <w:rPr>
          <w:rFonts w:asciiTheme="minorHAnsi" w:hAnsiTheme="minorHAnsi" w:cstheme="minorHAnsi"/>
        </w:rPr>
        <w:t xml:space="preserve">This issue is now pending before the Washington Supreme Court in </w:t>
      </w:r>
      <w:r w:rsidRPr="00ED550C">
        <w:rPr>
          <w:rFonts w:asciiTheme="minorHAnsi" w:hAnsiTheme="minorHAnsi" w:cstheme="minorHAnsi"/>
          <w:i/>
        </w:rPr>
        <w:t>St v. Tyler Watkins</w:t>
      </w:r>
      <w:r>
        <w:rPr>
          <w:rFonts w:asciiTheme="minorHAnsi" w:hAnsiTheme="minorHAnsi" w:cstheme="minorHAnsi"/>
          <w:i/>
        </w:rPr>
        <w:t xml:space="preserve"> </w:t>
      </w:r>
      <w:r w:rsidRPr="00ED550C">
        <w:rPr>
          <w:rFonts w:asciiTheme="minorHAnsi" w:hAnsiTheme="minorHAnsi" w:cstheme="minorHAnsi"/>
        </w:rPr>
        <w:t>(argued March 2018).</w:t>
      </w:r>
      <w:r>
        <w:rPr>
          <w:rFonts w:asciiTheme="minorHAnsi" w:hAnsiTheme="minorHAnsi" w:cstheme="minorHAnsi"/>
        </w:rPr>
        <w:t xml:space="preserve"> </w:t>
      </w:r>
      <w:r w:rsidRPr="001B45CF">
        <w:rPr>
          <w:rFonts w:asciiTheme="minorHAnsi" w:hAnsiTheme="minorHAnsi" w:cstheme="minorHAnsi"/>
        </w:rPr>
        <w:t xml:space="preserve">    </w:t>
      </w:r>
    </w:p>
    <w:p w14:paraId="1C5276C5" w14:textId="77777777" w:rsidR="004721D7" w:rsidRPr="001B45CF" w:rsidRDefault="004721D7" w:rsidP="004721D7">
      <w:pPr>
        <w:contextualSpacing/>
        <w:rPr>
          <w:rFonts w:asciiTheme="minorHAnsi" w:hAnsiTheme="minorHAnsi" w:cstheme="minorHAnsi"/>
        </w:rPr>
      </w:pPr>
    </w:p>
    <w:p w14:paraId="22A325A8" w14:textId="77777777" w:rsidR="003C788D" w:rsidRPr="00546D2E" w:rsidRDefault="003C788D" w:rsidP="003C788D">
      <w:pPr>
        <w:rPr>
          <w:rFonts w:asciiTheme="minorHAnsi" w:hAnsiTheme="minorHAnsi" w:cstheme="minorHAnsi"/>
        </w:rPr>
      </w:pPr>
      <w:r w:rsidRPr="004721D7">
        <w:rPr>
          <w:rFonts w:asciiTheme="minorHAnsi" w:hAnsiTheme="minorHAnsi" w:cstheme="minorHAnsi"/>
          <w:b/>
          <w:i/>
        </w:rPr>
        <w:lastRenderedPageBreak/>
        <w:t xml:space="preserve">Challenge to </w:t>
      </w:r>
      <w:r w:rsidRPr="004721D7">
        <w:rPr>
          <w:rFonts w:asciiTheme="minorHAnsi" w:hAnsiTheme="minorHAnsi" w:cstheme="minorHAnsi"/>
          <w:b/>
          <w:i/>
          <w:u w:val="single"/>
        </w:rPr>
        <w:t>any</w:t>
      </w:r>
      <w:r w:rsidRPr="004721D7">
        <w:rPr>
          <w:rFonts w:asciiTheme="minorHAnsi" w:hAnsiTheme="minorHAnsi" w:cstheme="minorHAnsi"/>
          <w:b/>
          <w:i/>
        </w:rPr>
        <w:t xml:space="preserve"> mandatory sentencing</w:t>
      </w:r>
      <w:r w:rsidRPr="004721D7">
        <w:rPr>
          <w:rFonts w:asciiTheme="minorHAnsi" w:hAnsiTheme="minorHAnsi" w:cstheme="minorHAnsi"/>
          <w:b/>
        </w:rPr>
        <w:t>.</w:t>
      </w:r>
      <w:r w:rsidRPr="004721D7">
        <w:rPr>
          <w:rStyle w:val="FootnoteReference"/>
          <w:rFonts w:asciiTheme="minorHAnsi" w:hAnsiTheme="minorHAnsi" w:cstheme="minorHAnsi"/>
          <w:b/>
        </w:rPr>
        <w:footnoteReference w:id="21"/>
      </w:r>
      <w:r w:rsidRPr="00546D2E">
        <w:rPr>
          <w:rFonts w:asciiTheme="minorHAnsi" w:hAnsiTheme="minorHAnsi" w:cstheme="minorHAnsi"/>
          <w:i/>
        </w:rPr>
        <w:t xml:space="preserve"> </w:t>
      </w:r>
      <w:r w:rsidRPr="00546D2E">
        <w:rPr>
          <w:rFonts w:asciiTheme="minorHAnsi" w:hAnsiTheme="minorHAnsi" w:cstheme="minorHAnsi"/>
        </w:rPr>
        <w:t xml:space="preserve">Challenge mandatory sentencing that does not provide an individualized sentencing for adolescent defendants because it fails to follow the dictate of </w:t>
      </w:r>
      <w:r w:rsidRPr="00546D2E">
        <w:rPr>
          <w:rFonts w:asciiTheme="minorHAnsi" w:hAnsiTheme="minorHAnsi" w:cstheme="minorHAnsi"/>
          <w:u w:val="single"/>
        </w:rPr>
        <w:t>Miller</w:t>
      </w:r>
      <w:r w:rsidRPr="00546D2E">
        <w:rPr>
          <w:rFonts w:asciiTheme="minorHAnsi" w:hAnsiTheme="minorHAnsi" w:cstheme="minorHAnsi"/>
        </w:rPr>
        <w:t xml:space="preserve"> requiring youth, home environment and potential for rehabilitation as factors that are required to be considered at sentencing.</w:t>
      </w:r>
      <w:r w:rsidRPr="00546D2E">
        <w:rPr>
          <w:rStyle w:val="FootnoteReference"/>
          <w:rFonts w:asciiTheme="minorHAnsi" w:hAnsiTheme="minorHAnsi" w:cstheme="minorHAnsi"/>
        </w:rPr>
        <w:footnoteReference w:id="22"/>
      </w:r>
      <w:r w:rsidRPr="00546D2E">
        <w:rPr>
          <w:rFonts w:asciiTheme="minorHAnsi" w:hAnsiTheme="minorHAnsi" w:cstheme="minorHAnsi"/>
        </w:rPr>
        <w:t xml:space="preserve"> </w:t>
      </w:r>
    </w:p>
    <w:p w14:paraId="67E85973" w14:textId="77777777" w:rsidR="003C788D" w:rsidRPr="00546D2E" w:rsidRDefault="003C788D" w:rsidP="003C788D">
      <w:pPr>
        <w:numPr>
          <w:ilvl w:val="0"/>
          <w:numId w:val="9"/>
        </w:numPr>
        <w:rPr>
          <w:rFonts w:asciiTheme="minorHAnsi" w:hAnsiTheme="minorHAnsi" w:cstheme="minorHAnsi"/>
        </w:rPr>
      </w:pPr>
      <w:r w:rsidRPr="00546D2E">
        <w:rPr>
          <w:rFonts w:asciiTheme="minorHAnsi" w:hAnsiTheme="minorHAnsi" w:cstheme="minorHAnsi"/>
        </w:rPr>
        <w:t xml:space="preserve">RCW 9.94A.540(3) provides that youth charged as adults are not subject to the same mandatory minimum terms as adults.  Legislative findings and intent following the statute specifically indicate the legislature relied upon the differences in adolescent brains when enacting this statute (effective in 2005).  </w:t>
      </w:r>
    </w:p>
    <w:p w14:paraId="57BC6C30" w14:textId="77777777" w:rsidR="003C788D" w:rsidRPr="00546D2E" w:rsidRDefault="003C788D" w:rsidP="003C788D">
      <w:pPr>
        <w:numPr>
          <w:ilvl w:val="0"/>
          <w:numId w:val="9"/>
        </w:numPr>
        <w:rPr>
          <w:rFonts w:asciiTheme="minorHAnsi" w:hAnsiTheme="minorHAnsi" w:cstheme="minorHAnsi"/>
          <w:b/>
        </w:rPr>
      </w:pPr>
      <w:r w:rsidRPr="00546D2E">
        <w:rPr>
          <w:rFonts w:asciiTheme="minorHAnsi" w:hAnsiTheme="minorHAnsi" w:cstheme="minorHAnsi"/>
        </w:rPr>
        <w:t>The legislature also took youth development into account when it passed legislation amending sentencing of youth for serious crimes in adult court. The new sentencing schemes allow for youth, lack of maturity/development and account for rehabilitation. Youths sentenced to lengthy prison terms are eligible for early release after 20 years.</w:t>
      </w:r>
      <w:r w:rsidRPr="00546D2E">
        <w:rPr>
          <w:rStyle w:val="FootnoteReference"/>
          <w:rFonts w:asciiTheme="minorHAnsi" w:hAnsiTheme="minorHAnsi" w:cstheme="minorHAnsi"/>
        </w:rPr>
        <w:footnoteReference w:id="23"/>
      </w:r>
      <w:r w:rsidRPr="00546D2E">
        <w:rPr>
          <w:rFonts w:asciiTheme="minorHAnsi" w:hAnsiTheme="minorHAnsi" w:cstheme="minorHAnsi"/>
        </w:rPr>
        <w:t xml:space="preserve"> Youths sentenced for aggravated murder are no longer subject to </w:t>
      </w:r>
      <w:r w:rsidRPr="00546D2E">
        <w:rPr>
          <w:rFonts w:asciiTheme="minorHAnsi" w:hAnsiTheme="minorHAnsi" w:cstheme="minorHAnsi"/>
          <w:u w:val="single"/>
        </w:rPr>
        <w:t>mandatory</w:t>
      </w:r>
      <w:r w:rsidRPr="00546D2E">
        <w:rPr>
          <w:rFonts w:asciiTheme="minorHAnsi" w:hAnsiTheme="minorHAnsi" w:cstheme="minorHAnsi"/>
        </w:rPr>
        <w:t xml:space="preserve"> life without parole.</w:t>
      </w:r>
      <w:r w:rsidRPr="00546D2E">
        <w:rPr>
          <w:rStyle w:val="FootnoteReference"/>
          <w:rFonts w:asciiTheme="minorHAnsi" w:hAnsiTheme="minorHAnsi" w:cstheme="minorHAnsi"/>
        </w:rPr>
        <w:footnoteReference w:id="24"/>
      </w:r>
      <w:r w:rsidRPr="00546D2E">
        <w:rPr>
          <w:rFonts w:asciiTheme="minorHAnsi" w:hAnsiTheme="minorHAnsi" w:cstheme="minorHAnsi"/>
        </w:rPr>
        <w:t xml:space="preserve"> </w:t>
      </w:r>
    </w:p>
    <w:p w14:paraId="728F5E5A" w14:textId="77777777" w:rsidR="003C788D" w:rsidRPr="00546D2E" w:rsidRDefault="003C788D" w:rsidP="003C788D">
      <w:pPr>
        <w:ind w:left="720"/>
        <w:rPr>
          <w:rFonts w:asciiTheme="minorHAnsi" w:hAnsiTheme="minorHAnsi" w:cstheme="minorHAnsi"/>
        </w:rPr>
      </w:pPr>
    </w:p>
    <w:p w14:paraId="012398A3" w14:textId="77777777" w:rsidR="003C788D" w:rsidRPr="00546D2E" w:rsidRDefault="003C788D" w:rsidP="003C788D">
      <w:pPr>
        <w:rPr>
          <w:rFonts w:asciiTheme="minorHAnsi" w:hAnsiTheme="minorHAnsi" w:cstheme="minorHAnsi"/>
          <w:i/>
        </w:rPr>
      </w:pPr>
    </w:p>
    <w:p w14:paraId="4DA35518" w14:textId="77777777" w:rsidR="003C788D" w:rsidRPr="00546D2E" w:rsidRDefault="003C788D" w:rsidP="003C788D">
      <w:pPr>
        <w:rPr>
          <w:rFonts w:asciiTheme="minorHAnsi" w:hAnsiTheme="minorHAnsi" w:cstheme="minorHAnsi"/>
        </w:rPr>
      </w:pPr>
      <w:r w:rsidRPr="004721D7">
        <w:rPr>
          <w:rFonts w:asciiTheme="minorHAnsi" w:hAnsiTheme="minorHAnsi" w:cstheme="minorHAnsi"/>
          <w:b/>
          <w:i/>
        </w:rPr>
        <w:t>Challenge to a “life equivalent” sentencing or lengthy term of years sentence</w:t>
      </w:r>
      <w:r w:rsidRPr="00546D2E">
        <w:rPr>
          <w:rFonts w:asciiTheme="minorHAnsi" w:hAnsiTheme="minorHAnsi" w:cstheme="minorHAnsi"/>
        </w:rPr>
        <w:t xml:space="preserve">: Challenge mandatory minimum and/or consecutive sentences or enhancements that violate </w:t>
      </w:r>
      <w:r w:rsidRPr="004721D7">
        <w:rPr>
          <w:rFonts w:asciiTheme="minorHAnsi" w:hAnsiTheme="minorHAnsi" w:cstheme="minorHAnsi"/>
          <w:i/>
        </w:rPr>
        <w:t>Graham</w:t>
      </w:r>
      <w:r w:rsidRPr="00546D2E">
        <w:rPr>
          <w:rFonts w:asciiTheme="minorHAnsi" w:hAnsiTheme="minorHAnsi" w:cstheme="minorHAnsi"/>
          <w:u w:val="single"/>
        </w:rPr>
        <w:t xml:space="preserve"> </w:t>
      </w:r>
      <w:r w:rsidRPr="00546D2E">
        <w:rPr>
          <w:rFonts w:asciiTheme="minorHAnsi" w:hAnsiTheme="minorHAnsi" w:cstheme="minorHAnsi"/>
        </w:rPr>
        <w:t xml:space="preserve">as life equivalent sentences  or </w:t>
      </w:r>
      <w:r w:rsidRPr="004721D7">
        <w:rPr>
          <w:rFonts w:asciiTheme="minorHAnsi" w:hAnsiTheme="minorHAnsi" w:cstheme="minorHAnsi"/>
          <w:i/>
        </w:rPr>
        <w:t>Miller</w:t>
      </w:r>
      <w:r w:rsidRPr="00546D2E">
        <w:rPr>
          <w:rFonts w:asciiTheme="minorHAnsi" w:hAnsiTheme="minorHAnsi" w:cstheme="minorHAnsi"/>
        </w:rPr>
        <w:t xml:space="preserve"> as a lengthy term of years sentence (ie geriatric release) that requires an individualized sentencing hearing.</w:t>
      </w:r>
      <w:r w:rsidRPr="00546D2E">
        <w:rPr>
          <w:rStyle w:val="FootnoteReference"/>
          <w:rFonts w:asciiTheme="minorHAnsi" w:hAnsiTheme="minorHAnsi" w:cstheme="minorHAnsi"/>
        </w:rPr>
        <w:footnoteReference w:id="25"/>
      </w:r>
      <w:r w:rsidRPr="00546D2E">
        <w:rPr>
          <w:rFonts w:asciiTheme="minorHAnsi" w:hAnsiTheme="minorHAnsi" w:cstheme="minorHAnsi"/>
        </w:rPr>
        <w:t xml:space="preserve">  Under the new sentencing schemes, some individuals may still face a life equivalent sentence without a meaningful opportunity for release, as required in Graham.</w:t>
      </w:r>
      <w:r w:rsidRPr="00546D2E">
        <w:rPr>
          <w:rStyle w:val="FootnoteReference"/>
          <w:rFonts w:asciiTheme="minorHAnsi" w:hAnsiTheme="minorHAnsi" w:cstheme="minorHAnsi"/>
        </w:rPr>
        <w:footnoteReference w:id="26"/>
      </w:r>
    </w:p>
    <w:p w14:paraId="0E04562F" w14:textId="77777777" w:rsidR="003C788D" w:rsidRPr="00546D2E" w:rsidRDefault="003C788D" w:rsidP="003C788D">
      <w:pPr>
        <w:rPr>
          <w:rFonts w:asciiTheme="minorHAnsi" w:hAnsiTheme="minorHAnsi" w:cstheme="minorHAnsi"/>
          <w:b/>
        </w:rPr>
      </w:pPr>
    </w:p>
    <w:p w14:paraId="576B0D8F" w14:textId="77777777" w:rsidR="003C788D" w:rsidRPr="00546D2E" w:rsidRDefault="003C788D" w:rsidP="003C788D">
      <w:pPr>
        <w:rPr>
          <w:rFonts w:asciiTheme="minorHAnsi" w:hAnsiTheme="minorHAnsi" w:cstheme="minorHAnsi"/>
          <w:b/>
          <w:u w:val="single"/>
        </w:rPr>
      </w:pPr>
    </w:p>
    <w:p w14:paraId="40F4018A" w14:textId="77777777" w:rsidR="003C788D" w:rsidRPr="00546D2E" w:rsidRDefault="003C788D" w:rsidP="003C788D">
      <w:pPr>
        <w:rPr>
          <w:rFonts w:asciiTheme="minorHAnsi" w:hAnsiTheme="minorHAnsi" w:cstheme="minorHAnsi"/>
          <w:b/>
          <w:u w:val="single"/>
        </w:rPr>
      </w:pPr>
      <w:r w:rsidRPr="00546D2E">
        <w:rPr>
          <w:rFonts w:asciiTheme="minorHAnsi" w:hAnsiTheme="minorHAnsi" w:cstheme="minorHAnsi"/>
          <w:b/>
          <w:u w:val="single"/>
        </w:rPr>
        <w:t>Further Reading/Additional Resources:</w:t>
      </w:r>
    </w:p>
    <w:p w14:paraId="6BEBD5C2" w14:textId="77777777" w:rsidR="003C788D" w:rsidRPr="00546D2E" w:rsidRDefault="003C788D" w:rsidP="003C788D">
      <w:pPr>
        <w:rPr>
          <w:rFonts w:asciiTheme="minorHAnsi" w:hAnsiTheme="minorHAnsi" w:cstheme="minorHAnsi"/>
          <w:i/>
        </w:rPr>
      </w:pPr>
    </w:p>
    <w:p w14:paraId="51747062" w14:textId="77777777" w:rsidR="003C788D" w:rsidRPr="00546D2E" w:rsidRDefault="003C788D" w:rsidP="003C788D">
      <w:pPr>
        <w:rPr>
          <w:rFonts w:asciiTheme="minorHAnsi" w:hAnsiTheme="minorHAnsi" w:cstheme="minorHAnsi"/>
        </w:rPr>
      </w:pPr>
      <w:r w:rsidRPr="00546D2E">
        <w:rPr>
          <w:rFonts w:asciiTheme="minorHAnsi" w:hAnsiTheme="minorHAnsi" w:cstheme="minorHAnsi"/>
          <w:i/>
        </w:rPr>
        <w:t xml:space="preserve">Less Guilty by Reason of Adolescence: Developmental Immaturity, Diminished Responsibility, and the Juvenile Death Penalty.  </w:t>
      </w:r>
      <w:r w:rsidRPr="00546D2E">
        <w:rPr>
          <w:rFonts w:asciiTheme="minorHAnsi" w:hAnsiTheme="minorHAnsi" w:cstheme="minorHAnsi"/>
        </w:rPr>
        <w:t xml:space="preserve">Larry Steinberg and Elizabeth Scott, 58 Am. Psychol. 1009 (2003), </w:t>
      </w:r>
    </w:p>
    <w:p w14:paraId="7B0831A5" w14:textId="77777777" w:rsidR="003C788D" w:rsidRPr="00546D2E" w:rsidRDefault="003C788D" w:rsidP="003C788D">
      <w:pPr>
        <w:rPr>
          <w:rFonts w:asciiTheme="minorHAnsi" w:hAnsiTheme="minorHAnsi" w:cstheme="minorHAnsi"/>
        </w:rPr>
      </w:pPr>
    </w:p>
    <w:p w14:paraId="0465832D"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lastRenderedPageBreak/>
        <w:t xml:space="preserve">Washington Supreme Court’s Juvenile Justice Symposium on May 20, 2014(first hour presentation by Dr. BJ Casey, an adolescent development research scientist)- great resource to recommend to prosecutors or judges: </w:t>
      </w:r>
      <w:hyperlink r:id="rId10" w:tgtFrame="_blank" w:history="1">
        <w:r w:rsidRPr="00546D2E">
          <w:rPr>
            <w:rStyle w:val="Hyperlink"/>
            <w:rFonts w:asciiTheme="minorHAnsi" w:hAnsiTheme="minorHAnsi" w:cstheme="minorHAnsi"/>
          </w:rPr>
          <w:t>http://www.tvw.org/index.php?option=com_tvwplayer&amp;eventID=2014050006</w:t>
        </w:r>
      </w:hyperlink>
      <w:r w:rsidRPr="00546D2E">
        <w:rPr>
          <w:rFonts w:asciiTheme="minorHAnsi" w:hAnsiTheme="minorHAnsi" w:cstheme="minorHAnsi"/>
          <w:color w:val="1F497D"/>
        </w:rPr>
        <w:t>.</w:t>
      </w:r>
    </w:p>
    <w:p w14:paraId="45660F1E" w14:textId="77777777" w:rsidR="003C788D" w:rsidRPr="00546D2E" w:rsidRDefault="003C788D" w:rsidP="003C788D">
      <w:pPr>
        <w:rPr>
          <w:rFonts w:asciiTheme="minorHAnsi" w:hAnsiTheme="minorHAnsi" w:cstheme="minorHAnsi"/>
          <w:i/>
          <w:u w:val="single"/>
        </w:rPr>
      </w:pPr>
    </w:p>
    <w:p w14:paraId="775ECD75" w14:textId="77777777" w:rsidR="003C788D" w:rsidRPr="00546D2E" w:rsidRDefault="003C788D" w:rsidP="003C788D">
      <w:pPr>
        <w:rPr>
          <w:rFonts w:asciiTheme="minorHAnsi" w:hAnsiTheme="minorHAnsi" w:cstheme="minorHAnsi"/>
          <w:i/>
        </w:rPr>
      </w:pPr>
      <w:r w:rsidRPr="00546D2E">
        <w:rPr>
          <w:rFonts w:asciiTheme="minorHAnsi" w:hAnsiTheme="minorHAnsi" w:cstheme="minorHAnsi"/>
          <w:i/>
          <w:u w:val="single"/>
        </w:rPr>
        <w:t>JDB v. North Carolina</w:t>
      </w:r>
      <w:r w:rsidRPr="00546D2E">
        <w:rPr>
          <w:rFonts w:asciiTheme="minorHAnsi" w:hAnsiTheme="minorHAnsi" w:cstheme="minorHAnsi"/>
          <w:i/>
        </w:rPr>
        <w:t>: The US Supreme Court Heralds the Emergence of the ‘Reasonable Juvenile’ in American Criminal Law</w:t>
      </w:r>
      <w:r w:rsidRPr="00546D2E">
        <w:rPr>
          <w:rFonts w:asciiTheme="minorHAnsi" w:hAnsiTheme="minorHAnsi" w:cstheme="minorHAnsi"/>
        </w:rPr>
        <w:t>, Marsha Levick, 89 CrL 753 (8/24/2011)</w:t>
      </w:r>
    </w:p>
    <w:p w14:paraId="0AFD005C" w14:textId="77777777" w:rsidR="003C788D" w:rsidRPr="00546D2E" w:rsidRDefault="003C788D" w:rsidP="003C788D">
      <w:pPr>
        <w:rPr>
          <w:rFonts w:asciiTheme="minorHAnsi" w:hAnsiTheme="minorHAnsi" w:cstheme="minorHAnsi"/>
        </w:rPr>
      </w:pPr>
    </w:p>
    <w:p w14:paraId="270390D5" w14:textId="77777777" w:rsidR="003C788D" w:rsidRPr="00546D2E" w:rsidRDefault="003C788D" w:rsidP="003C788D">
      <w:pPr>
        <w:rPr>
          <w:rFonts w:asciiTheme="minorHAnsi" w:hAnsiTheme="minorHAnsi" w:cstheme="minorHAnsi"/>
        </w:rPr>
      </w:pPr>
      <w:r w:rsidRPr="00546D2E">
        <w:rPr>
          <w:rFonts w:asciiTheme="minorHAnsi" w:hAnsiTheme="minorHAnsi" w:cstheme="minorHAnsi"/>
        </w:rPr>
        <w:t>The Champion-In Defense of Children: The Juvenile Justice Issue</w:t>
      </w:r>
      <w:r w:rsidRPr="00546D2E">
        <w:rPr>
          <w:rFonts w:asciiTheme="minorHAnsi" w:hAnsiTheme="minorHAnsi" w:cstheme="minorHAnsi"/>
          <w:i/>
        </w:rPr>
        <w:t xml:space="preserve"> </w:t>
      </w:r>
      <w:r w:rsidRPr="00546D2E">
        <w:rPr>
          <w:rFonts w:asciiTheme="minorHAnsi" w:hAnsiTheme="minorHAnsi" w:cstheme="minorHAnsi"/>
        </w:rPr>
        <w:t xml:space="preserve">March 2014 (available at </w:t>
      </w:r>
      <w:hyperlink r:id="rId11" w:history="1">
        <w:r w:rsidRPr="00546D2E">
          <w:rPr>
            <w:rStyle w:val="Hyperlink"/>
            <w:rFonts w:asciiTheme="minorHAnsi" w:hAnsiTheme="minorHAnsi" w:cstheme="minorHAnsi"/>
          </w:rPr>
          <w:t>http://www.nacdl.org/champion.aspx</w:t>
        </w:r>
      </w:hyperlink>
      <w:r w:rsidRPr="00546D2E">
        <w:rPr>
          <w:rFonts w:asciiTheme="minorHAnsi" w:hAnsiTheme="minorHAnsi" w:cstheme="minorHAnsi"/>
        </w:rPr>
        <w:t>), including:</w:t>
      </w:r>
    </w:p>
    <w:p w14:paraId="4ED7F2D3" w14:textId="77777777" w:rsidR="003C788D" w:rsidRPr="00546D2E" w:rsidRDefault="003C788D" w:rsidP="003C788D">
      <w:pPr>
        <w:pStyle w:val="ListParagraph"/>
        <w:numPr>
          <w:ilvl w:val="0"/>
          <w:numId w:val="6"/>
        </w:numPr>
        <w:spacing w:after="0" w:line="240" w:lineRule="auto"/>
        <w:rPr>
          <w:rFonts w:asciiTheme="minorHAnsi" w:hAnsiTheme="minorHAnsi" w:cstheme="minorHAnsi"/>
          <w:sz w:val="24"/>
          <w:szCs w:val="24"/>
        </w:rPr>
      </w:pPr>
      <w:r w:rsidRPr="00546D2E">
        <w:rPr>
          <w:rFonts w:asciiTheme="minorHAnsi" w:hAnsiTheme="minorHAnsi" w:cstheme="minorHAnsi"/>
          <w:i/>
          <w:sz w:val="24"/>
          <w:szCs w:val="24"/>
        </w:rPr>
        <w:t>Juveniles Convicted of Homicide post-</w:t>
      </w:r>
      <w:r w:rsidRPr="00546D2E">
        <w:rPr>
          <w:rFonts w:asciiTheme="minorHAnsi" w:hAnsiTheme="minorHAnsi" w:cstheme="minorHAnsi"/>
          <w:i/>
          <w:sz w:val="24"/>
          <w:szCs w:val="24"/>
          <w:u w:val="single"/>
        </w:rPr>
        <w:t>Miller</w:t>
      </w:r>
      <w:r w:rsidRPr="00546D2E">
        <w:rPr>
          <w:rFonts w:asciiTheme="minorHAnsi" w:hAnsiTheme="minorHAnsi" w:cstheme="minorHAnsi"/>
          <w:i/>
          <w:sz w:val="24"/>
          <w:szCs w:val="24"/>
        </w:rPr>
        <w:t>.</w:t>
      </w:r>
      <w:r w:rsidRPr="00546D2E">
        <w:rPr>
          <w:rFonts w:asciiTheme="minorHAnsi" w:hAnsiTheme="minorHAnsi" w:cstheme="minorHAnsi"/>
          <w:sz w:val="24"/>
          <w:szCs w:val="24"/>
        </w:rPr>
        <w:t xml:space="preserve"> Stephen Harper.</w:t>
      </w:r>
    </w:p>
    <w:p w14:paraId="4D8B7260" w14:textId="77777777" w:rsidR="003C788D" w:rsidRPr="00546D2E" w:rsidRDefault="003C788D" w:rsidP="003C788D">
      <w:pPr>
        <w:pStyle w:val="ListParagraph"/>
        <w:numPr>
          <w:ilvl w:val="0"/>
          <w:numId w:val="6"/>
        </w:numPr>
        <w:spacing w:after="0" w:line="240" w:lineRule="auto"/>
        <w:rPr>
          <w:rFonts w:asciiTheme="minorHAnsi" w:hAnsiTheme="minorHAnsi" w:cstheme="minorHAnsi"/>
          <w:sz w:val="24"/>
          <w:szCs w:val="24"/>
        </w:rPr>
      </w:pPr>
      <w:r w:rsidRPr="00546D2E">
        <w:rPr>
          <w:rFonts w:asciiTheme="minorHAnsi" w:hAnsiTheme="minorHAnsi" w:cstheme="minorHAnsi"/>
          <w:i/>
          <w:sz w:val="24"/>
          <w:szCs w:val="24"/>
        </w:rPr>
        <w:t xml:space="preserve">Youth Matters: </w:t>
      </w:r>
      <w:r w:rsidRPr="00546D2E">
        <w:rPr>
          <w:rFonts w:asciiTheme="minorHAnsi" w:hAnsiTheme="minorHAnsi" w:cstheme="minorHAnsi"/>
          <w:i/>
          <w:sz w:val="24"/>
          <w:szCs w:val="24"/>
          <w:u w:val="single"/>
        </w:rPr>
        <w:t>Roper</w:t>
      </w:r>
      <w:r w:rsidRPr="00546D2E">
        <w:rPr>
          <w:rFonts w:asciiTheme="minorHAnsi" w:hAnsiTheme="minorHAnsi" w:cstheme="minorHAnsi"/>
          <w:i/>
          <w:sz w:val="24"/>
          <w:szCs w:val="24"/>
        </w:rPr>
        <w:t xml:space="preserve">, </w:t>
      </w:r>
      <w:r w:rsidRPr="00546D2E">
        <w:rPr>
          <w:rFonts w:asciiTheme="minorHAnsi" w:hAnsiTheme="minorHAnsi" w:cstheme="minorHAnsi"/>
          <w:i/>
          <w:sz w:val="24"/>
          <w:szCs w:val="24"/>
          <w:u w:val="single"/>
        </w:rPr>
        <w:t>Graham</w:t>
      </w:r>
      <w:r w:rsidRPr="00546D2E">
        <w:rPr>
          <w:rFonts w:asciiTheme="minorHAnsi" w:hAnsiTheme="minorHAnsi" w:cstheme="minorHAnsi"/>
          <w:i/>
          <w:sz w:val="24"/>
          <w:szCs w:val="24"/>
        </w:rPr>
        <w:t xml:space="preserve">, </w:t>
      </w:r>
      <w:r w:rsidRPr="00546D2E">
        <w:rPr>
          <w:rFonts w:asciiTheme="minorHAnsi" w:hAnsiTheme="minorHAnsi" w:cstheme="minorHAnsi"/>
          <w:i/>
          <w:sz w:val="24"/>
          <w:szCs w:val="24"/>
          <w:u w:val="single"/>
        </w:rPr>
        <w:t>J.D.B</w:t>
      </w:r>
      <w:r w:rsidRPr="00546D2E">
        <w:rPr>
          <w:rFonts w:asciiTheme="minorHAnsi" w:hAnsiTheme="minorHAnsi" w:cstheme="minorHAnsi"/>
          <w:i/>
          <w:sz w:val="24"/>
          <w:szCs w:val="24"/>
        </w:rPr>
        <w:t xml:space="preserve">., </w:t>
      </w:r>
      <w:r w:rsidRPr="00546D2E">
        <w:rPr>
          <w:rFonts w:asciiTheme="minorHAnsi" w:hAnsiTheme="minorHAnsi" w:cstheme="minorHAnsi"/>
          <w:i/>
          <w:sz w:val="24"/>
          <w:szCs w:val="24"/>
          <w:u w:val="single"/>
        </w:rPr>
        <w:t>Miller</w:t>
      </w:r>
      <w:r w:rsidRPr="00546D2E">
        <w:rPr>
          <w:rFonts w:asciiTheme="minorHAnsi" w:hAnsiTheme="minorHAnsi" w:cstheme="minorHAnsi"/>
          <w:i/>
          <w:sz w:val="24"/>
          <w:szCs w:val="24"/>
        </w:rPr>
        <w:t xml:space="preserve"> and the New Juvenile Jurisprudence</w:t>
      </w:r>
      <w:r w:rsidRPr="00546D2E">
        <w:rPr>
          <w:rFonts w:asciiTheme="minorHAnsi" w:hAnsiTheme="minorHAnsi" w:cstheme="minorHAnsi"/>
          <w:sz w:val="24"/>
          <w:szCs w:val="24"/>
        </w:rPr>
        <w:t>, Shobha Mahadev</w:t>
      </w:r>
    </w:p>
    <w:p w14:paraId="79AFB206" w14:textId="77777777" w:rsidR="003C788D" w:rsidRPr="00546D2E" w:rsidRDefault="003C788D" w:rsidP="003C788D">
      <w:pPr>
        <w:pStyle w:val="ListParagraph"/>
        <w:numPr>
          <w:ilvl w:val="0"/>
          <w:numId w:val="6"/>
        </w:numPr>
        <w:spacing w:after="0" w:line="240" w:lineRule="auto"/>
        <w:rPr>
          <w:rFonts w:asciiTheme="minorHAnsi" w:hAnsiTheme="minorHAnsi" w:cstheme="minorHAnsi"/>
          <w:sz w:val="24"/>
          <w:szCs w:val="24"/>
        </w:rPr>
      </w:pPr>
      <w:r w:rsidRPr="00546D2E">
        <w:rPr>
          <w:rFonts w:asciiTheme="minorHAnsi" w:hAnsiTheme="minorHAnsi" w:cstheme="minorHAnsi"/>
          <w:i/>
          <w:sz w:val="24"/>
          <w:szCs w:val="24"/>
        </w:rPr>
        <w:t xml:space="preserve">Defending Juvenile Confessions  After </w:t>
      </w:r>
      <w:r w:rsidRPr="00546D2E">
        <w:rPr>
          <w:rFonts w:asciiTheme="minorHAnsi" w:hAnsiTheme="minorHAnsi" w:cstheme="minorHAnsi"/>
          <w:i/>
          <w:sz w:val="24"/>
          <w:szCs w:val="24"/>
          <w:u w:val="single"/>
        </w:rPr>
        <w:t>J.D.B. v North Carolina</w:t>
      </w:r>
      <w:r w:rsidRPr="00546D2E">
        <w:rPr>
          <w:rFonts w:asciiTheme="minorHAnsi" w:hAnsiTheme="minorHAnsi" w:cstheme="minorHAnsi"/>
          <w:i/>
          <w:sz w:val="24"/>
          <w:szCs w:val="24"/>
        </w:rPr>
        <w:t>,</w:t>
      </w:r>
      <w:r w:rsidRPr="00546D2E">
        <w:rPr>
          <w:rFonts w:asciiTheme="minorHAnsi" w:hAnsiTheme="minorHAnsi" w:cstheme="minorHAnsi"/>
          <w:sz w:val="24"/>
          <w:szCs w:val="24"/>
        </w:rPr>
        <w:t xml:space="preserve"> Joshua Tepfer </w:t>
      </w:r>
    </w:p>
    <w:p w14:paraId="644D989F" w14:textId="77777777" w:rsidR="003C788D" w:rsidRPr="00546D2E" w:rsidRDefault="003C788D" w:rsidP="003C788D">
      <w:pPr>
        <w:pStyle w:val="ListParagraph"/>
        <w:numPr>
          <w:ilvl w:val="0"/>
          <w:numId w:val="6"/>
        </w:numPr>
        <w:spacing w:after="0" w:line="240" w:lineRule="auto"/>
        <w:rPr>
          <w:rFonts w:asciiTheme="minorHAnsi" w:hAnsiTheme="minorHAnsi" w:cstheme="minorHAnsi"/>
          <w:i/>
          <w:sz w:val="24"/>
          <w:szCs w:val="24"/>
        </w:rPr>
      </w:pPr>
      <w:r w:rsidRPr="00546D2E">
        <w:rPr>
          <w:rFonts w:asciiTheme="minorHAnsi" w:hAnsiTheme="minorHAnsi" w:cstheme="minorHAnsi"/>
          <w:i/>
          <w:sz w:val="24"/>
          <w:szCs w:val="24"/>
        </w:rPr>
        <w:t>Interviewing a Child Client</w:t>
      </w:r>
      <w:r w:rsidRPr="00546D2E">
        <w:rPr>
          <w:rFonts w:asciiTheme="minorHAnsi" w:hAnsiTheme="minorHAnsi" w:cstheme="minorHAnsi"/>
          <w:sz w:val="24"/>
          <w:szCs w:val="24"/>
        </w:rPr>
        <w:t>, Randee Waldman</w:t>
      </w:r>
    </w:p>
    <w:p w14:paraId="0FE50320" w14:textId="77777777" w:rsidR="003C788D" w:rsidRPr="00546D2E" w:rsidRDefault="003C788D" w:rsidP="003C788D">
      <w:pPr>
        <w:rPr>
          <w:rFonts w:asciiTheme="minorHAnsi" w:hAnsiTheme="minorHAnsi" w:cstheme="minorHAnsi"/>
          <w:i/>
        </w:rPr>
      </w:pPr>
    </w:p>
    <w:p w14:paraId="5FB5A3A9" w14:textId="77777777" w:rsidR="003C788D" w:rsidRPr="00546D2E" w:rsidRDefault="008468A5" w:rsidP="003C788D">
      <w:pPr>
        <w:rPr>
          <w:rFonts w:asciiTheme="minorHAnsi" w:hAnsiTheme="minorHAnsi" w:cstheme="minorHAnsi"/>
        </w:rPr>
      </w:pPr>
      <w:hyperlink r:id="rId12" w:history="1">
        <w:r w:rsidR="003C788D" w:rsidRPr="00546D2E">
          <w:rPr>
            <w:rStyle w:val="Hyperlink"/>
            <w:rFonts w:asciiTheme="minorHAnsi" w:hAnsiTheme="minorHAnsi" w:cstheme="minorHAnsi"/>
            <w:i/>
          </w:rPr>
          <w:t>Graham v. Florida and a Juvenile’s Right to Age Appropriate Sentencing</w:t>
        </w:r>
      </w:hyperlink>
      <w:r w:rsidR="003C788D" w:rsidRPr="00546D2E">
        <w:rPr>
          <w:rFonts w:asciiTheme="minorHAnsi" w:hAnsiTheme="minorHAnsi" w:cstheme="minorHAnsi"/>
        </w:rPr>
        <w:t>, Martin Guggenheim, Harvard Civil Rights Civil Liberties Law Journal, Vol. 47 No. 2 (2012)</w:t>
      </w:r>
    </w:p>
    <w:p w14:paraId="56547DB5" w14:textId="77777777" w:rsidR="003C788D" w:rsidRPr="00546D2E" w:rsidRDefault="003C788D" w:rsidP="003C788D">
      <w:pPr>
        <w:rPr>
          <w:rFonts w:asciiTheme="minorHAnsi" w:hAnsiTheme="minorHAnsi" w:cstheme="minorHAnsi"/>
        </w:rPr>
      </w:pPr>
    </w:p>
    <w:p w14:paraId="02677781" w14:textId="77777777" w:rsidR="003C788D" w:rsidRPr="00546D2E" w:rsidRDefault="003C788D" w:rsidP="003C788D">
      <w:pPr>
        <w:rPr>
          <w:rFonts w:asciiTheme="minorHAnsi" w:hAnsiTheme="minorHAnsi" w:cstheme="minorHAnsi"/>
        </w:rPr>
      </w:pPr>
      <w:r w:rsidRPr="00546D2E">
        <w:rPr>
          <w:rFonts w:asciiTheme="minorHAnsi" w:hAnsiTheme="minorHAnsi" w:cstheme="minorHAnsi"/>
          <w:i/>
        </w:rPr>
        <w:t>The Eighth Amendment Evolves, Defining Cruel and Unusual Punishment Through the Lens of Childhood and Adolescence</w:t>
      </w:r>
      <w:r w:rsidRPr="00546D2E">
        <w:rPr>
          <w:rFonts w:asciiTheme="minorHAnsi" w:hAnsiTheme="minorHAnsi" w:cstheme="minorHAnsi"/>
        </w:rPr>
        <w:t>. Marsha Levick, et al.,15 U. Pa. J &amp; Soc. Change 285 (2012).</w:t>
      </w:r>
    </w:p>
    <w:p w14:paraId="56602ECF" w14:textId="77777777" w:rsidR="003C788D" w:rsidRPr="00546D2E" w:rsidRDefault="003C788D" w:rsidP="003C788D">
      <w:pPr>
        <w:rPr>
          <w:rFonts w:asciiTheme="minorHAnsi" w:hAnsiTheme="minorHAnsi" w:cstheme="minorHAnsi"/>
          <w:i/>
        </w:rPr>
      </w:pPr>
    </w:p>
    <w:p w14:paraId="42F095B7" w14:textId="77777777" w:rsidR="003C788D" w:rsidRPr="00546D2E" w:rsidRDefault="003C788D" w:rsidP="00174229">
      <w:pPr>
        <w:jc w:val="center"/>
        <w:rPr>
          <w:rFonts w:asciiTheme="minorHAnsi" w:hAnsiTheme="minorHAnsi" w:cstheme="minorHAnsi"/>
          <w:b/>
        </w:rPr>
      </w:pPr>
    </w:p>
    <w:sectPr w:rsidR="003C788D" w:rsidRPr="00546D2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00F3" w14:textId="77777777" w:rsidR="0005270A" w:rsidRDefault="0005270A">
      <w:r>
        <w:separator/>
      </w:r>
    </w:p>
  </w:endnote>
  <w:endnote w:type="continuationSeparator" w:id="0">
    <w:p w14:paraId="1924CED9" w14:textId="77777777" w:rsidR="0005270A" w:rsidRDefault="0005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DC30E" w14:textId="77777777" w:rsidR="0005270A" w:rsidRDefault="0005270A">
      <w:r>
        <w:separator/>
      </w:r>
    </w:p>
  </w:footnote>
  <w:footnote w:type="continuationSeparator" w:id="0">
    <w:p w14:paraId="58CFE7B3" w14:textId="77777777" w:rsidR="0005270A" w:rsidRDefault="0005270A">
      <w:r>
        <w:continuationSeparator/>
      </w:r>
    </w:p>
  </w:footnote>
  <w:footnote w:id="1">
    <w:p w14:paraId="0B7146E6" w14:textId="77777777" w:rsidR="0005270A" w:rsidRPr="00E92F28" w:rsidRDefault="0005270A" w:rsidP="003C788D">
      <w:pPr>
        <w:pStyle w:val="FootnoteText"/>
        <w:rPr>
          <w:rFonts w:asciiTheme="minorHAnsi" w:hAnsiTheme="minorHAnsi" w:cstheme="minorHAnsi"/>
        </w:rPr>
      </w:pPr>
      <w:r>
        <w:rPr>
          <w:rStyle w:val="FootnoteReference"/>
        </w:rPr>
        <w:footnoteRef/>
      </w:r>
      <w:r>
        <w:t xml:space="preserve"> </w:t>
      </w:r>
      <w:r w:rsidRPr="00E92F28">
        <w:rPr>
          <w:rFonts w:asciiTheme="minorHAnsi" w:hAnsiTheme="minorHAnsi" w:cstheme="minorHAnsi"/>
        </w:rPr>
        <w:t xml:space="preserve">543 US 551, 125 S.Ct. 1183, 161 L.Ed.2d 1( 2005) </w:t>
      </w:r>
    </w:p>
  </w:footnote>
  <w:footnote w:id="2">
    <w:p w14:paraId="13B99D3B" w14:textId="77777777" w:rsidR="0005270A" w:rsidRPr="00E92F28" w:rsidRDefault="0005270A" w:rsidP="003C788D">
      <w:pPr>
        <w:pStyle w:val="FootnoteText"/>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The Court had previously abolished the death penalty for juveniles under 16 at the time of the crime.  </w:t>
      </w:r>
      <w:r w:rsidRPr="004F2CC3">
        <w:rPr>
          <w:rFonts w:asciiTheme="minorHAnsi" w:hAnsiTheme="minorHAnsi" w:cstheme="minorHAnsi"/>
          <w:i/>
        </w:rPr>
        <w:t>Thompson v. Oklahoma</w:t>
      </w:r>
      <w:r w:rsidRPr="00E92F28">
        <w:rPr>
          <w:rFonts w:asciiTheme="minorHAnsi" w:hAnsiTheme="minorHAnsi" w:cstheme="minorHAnsi"/>
        </w:rPr>
        <w:t>, 487 US 815, 108 S.Ct. 2687 (1998)</w:t>
      </w:r>
    </w:p>
  </w:footnote>
  <w:footnote w:id="3">
    <w:p w14:paraId="52D19256" w14:textId="77777777" w:rsidR="0005270A" w:rsidRPr="00E92F28" w:rsidRDefault="0005270A" w:rsidP="003C788D">
      <w:pPr>
        <w:pStyle w:val="FootnoteText"/>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560 US 48, 130 S.Ct. 2011, 176 L.Ed.2d 825 (2010)</w:t>
      </w:r>
    </w:p>
  </w:footnote>
  <w:footnote w:id="4">
    <w:p w14:paraId="4CE7C608" w14:textId="68404E79" w:rsidR="0005270A" w:rsidRPr="00E92F28" w:rsidRDefault="0005270A" w:rsidP="003C788D">
      <w:pPr>
        <w:pStyle w:val="FootnoteText"/>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w:t>
      </w:r>
      <w:r w:rsidR="008468A5" w:rsidRPr="008468A5">
        <w:rPr>
          <w:rFonts w:asciiTheme="minorHAnsi" w:hAnsiTheme="minorHAnsi" w:cstheme="minorHAnsi"/>
        </w:rPr>
        <w:t>564 U.S. 261</w:t>
      </w:r>
      <w:r w:rsidR="008468A5">
        <w:rPr>
          <w:rFonts w:asciiTheme="minorHAnsi" w:hAnsiTheme="minorHAnsi" w:cstheme="minorHAnsi"/>
        </w:rPr>
        <w:t xml:space="preserve">, </w:t>
      </w:r>
      <w:r w:rsidRPr="00E92F28">
        <w:rPr>
          <w:rFonts w:asciiTheme="minorHAnsi" w:hAnsiTheme="minorHAnsi" w:cstheme="minorHAnsi"/>
        </w:rPr>
        <w:t>131 S.Ct. 2394, 180 L.Ed.2d 310 (2011)</w:t>
      </w:r>
    </w:p>
  </w:footnote>
  <w:footnote w:id="5">
    <w:p w14:paraId="72A5041C" w14:textId="456B8C1E" w:rsidR="0005270A" w:rsidRPr="00E92F28" w:rsidRDefault="0005270A" w:rsidP="003C788D">
      <w:pPr>
        <w:pStyle w:val="FootnoteText"/>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w:t>
      </w:r>
      <w:bookmarkStart w:id="0" w:name="_Hlk119659061"/>
      <w:r w:rsidR="008468A5" w:rsidRPr="008468A5">
        <w:rPr>
          <w:rFonts w:asciiTheme="minorHAnsi" w:hAnsiTheme="minorHAnsi" w:cstheme="minorHAnsi"/>
        </w:rPr>
        <w:t>567 U.S. 460</w:t>
      </w:r>
      <w:bookmarkEnd w:id="0"/>
      <w:r w:rsidRPr="00E92F28">
        <w:rPr>
          <w:rFonts w:asciiTheme="minorHAnsi" w:hAnsiTheme="minorHAnsi" w:cstheme="minorHAnsi"/>
        </w:rPr>
        <w:t>, 132 S.Ct. 2455 183 L.Ed.2d 407 (2012)</w:t>
      </w:r>
    </w:p>
  </w:footnote>
  <w:footnote w:id="6">
    <w:p w14:paraId="3F9B92E5" w14:textId="77777777" w:rsidR="0005270A" w:rsidRPr="00E92F28" w:rsidRDefault="0005270A" w:rsidP="003C788D">
      <w:pPr>
        <w:rPr>
          <w:rFonts w:asciiTheme="minorHAnsi" w:hAnsiTheme="minorHAnsi" w:cstheme="minorHAnsi"/>
          <w:sz w:val="20"/>
          <w:szCs w:val="20"/>
        </w:rPr>
      </w:pPr>
      <w:r w:rsidRPr="00E92F28">
        <w:rPr>
          <w:rStyle w:val="FootnoteReference"/>
          <w:rFonts w:asciiTheme="minorHAnsi" w:hAnsiTheme="minorHAnsi" w:cstheme="minorHAnsi"/>
          <w:sz w:val="20"/>
          <w:szCs w:val="20"/>
        </w:rPr>
        <w:footnoteRef/>
      </w:r>
      <w:r w:rsidRPr="00E92F28">
        <w:rPr>
          <w:rFonts w:asciiTheme="minorHAnsi" w:hAnsiTheme="minorHAnsi" w:cstheme="minorHAnsi"/>
          <w:sz w:val="20"/>
          <w:szCs w:val="20"/>
        </w:rPr>
        <w:t xml:space="preserve"> </w:t>
      </w:r>
      <w:r w:rsidRPr="004F2CC3">
        <w:rPr>
          <w:rFonts w:asciiTheme="minorHAnsi" w:hAnsiTheme="minorHAnsi" w:cstheme="minorHAnsi"/>
          <w:i/>
          <w:sz w:val="20"/>
          <w:szCs w:val="20"/>
        </w:rPr>
        <w:t>St v. O’Dell</w:t>
      </w:r>
      <w:r w:rsidRPr="00E92F28">
        <w:rPr>
          <w:rFonts w:asciiTheme="minorHAnsi" w:hAnsiTheme="minorHAnsi" w:cstheme="minorHAnsi"/>
          <w:sz w:val="20"/>
          <w:szCs w:val="20"/>
        </w:rPr>
        <w:t xml:space="preserve"> 183 Wn.2d 680, 358 P.3d 359 (2015) held that trial courts can consider a defendant’s age/youth and the impact immature development has on criminal culpability when deciding whether to impose an exceptional sentence below the standard range</w:t>
      </w:r>
    </w:p>
  </w:footnote>
  <w:footnote w:id="7">
    <w:p w14:paraId="4E5F243F" w14:textId="77777777" w:rsidR="0005270A" w:rsidRPr="004F2CC3" w:rsidRDefault="0005270A">
      <w:pPr>
        <w:pStyle w:val="FootnoteText"/>
        <w:rPr>
          <w:rFonts w:asciiTheme="minorHAnsi" w:hAnsiTheme="minorHAnsi" w:cstheme="minorHAnsi"/>
        </w:rPr>
      </w:pPr>
      <w:r>
        <w:rPr>
          <w:rStyle w:val="FootnoteReference"/>
        </w:rPr>
        <w:footnoteRef/>
      </w:r>
      <w:r>
        <w:t xml:space="preserve"> </w:t>
      </w:r>
      <w:r w:rsidRPr="004F2CC3">
        <w:rPr>
          <w:rFonts w:asciiTheme="minorHAnsi" w:hAnsiTheme="minorHAnsi" w:cstheme="minorHAnsi"/>
        </w:rPr>
        <w:t>188 Wn.2d 1, 291, 391 P.3d 409 (2017)</w:t>
      </w:r>
    </w:p>
  </w:footnote>
  <w:footnote w:id="8">
    <w:p w14:paraId="32FE628C" w14:textId="77777777" w:rsidR="0005270A" w:rsidRPr="00E92F28" w:rsidRDefault="0005270A" w:rsidP="003C788D">
      <w:pPr>
        <w:rPr>
          <w:rFonts w:asciiTheme="minorHAnsi" w:hAnsiTheme="minorHAnsi" w:cstheme="minorHAnsi"/>
          <w:sz w:val="20"/>
          <w:szCs w:val="20"/>
        </w:rPr>
      </w:pPr>
      <w:r w:rsidRPr="006B79AF">
        <w:rPr>
          <w:rStyle w:val="FootnoteReference"/>
        </w:rPr>
        <w:footnoteRef/>
      </w:r>
      <w:r w:rsidRPr="006B79AF">
        <w:t xml:space="preserve"> </w:t>
      </w:r>
      <w:r w:rsidRPr="00E92F28">
        <w:rPr>
          <w:rFonts w:asciiTheme="minorHAnsi" w:hAnsiTheme="minorHAnsi" w:cstheme="minorHAnsi"/>
          <w:sz w:val="20"/>
          <w:szCs w:val="20"/>
        </w:rPr>
        <w:t>NACDL and the Juvenile Law Center offered this free webcast as a primer for defense attorneys-</w:t>
      </w:r>
      <w:hyperlink r:id="rId1" w:history="1">
        <w:r w:rsidRPr="00E92F28">
          <w:rPr>
            <w:rStyle w:val="Hyperlink"/>
            <w:rFonts w:asciiTheme="minorHAnsi" w:hAnsiTheme="minorHAnsi" w:cstheme="minorHAnsi"/>
            <w:sz w:val="20"/>
            <w:szCs w:val="20"/>
          </w:rPr>
          <w:t>Adolescent Development 101</w:t>
        </w:r>
      </w:hyperlink>
      <w:r w:rsidRPr="00E92F28">
        <w:rPr>
          <w:rFonts w:asciiTheme="minorHAnsi" w:hAnsiTheme="minorHAnsi" w:cstheme="minorHAnsi"/>
          <w:sz w:val="20"/>
          <w:szCs w:val="20"/>
        </w:rPr>
        <w:t xml:space="preserve"> –March 6, 2012 (last accessed June 24, 2014). See also Larry Steinberg &amp; Elizabeth Scott, </w:t>
      </w:r>
      <w:r w:rsidRPr="00E92F28">
        <w:rPr>
          <w:rFonts w:asciiTheme="minorHAnsi" w:hAnsiTheme="minorHAnsi" w:cstheme="minorHAnsi"/>
          <w:i/>
          <w:sz w:val="20"/>
          <w:szCs w:val="20"/>
        </w:rPr>
        <w:t xml:space="preserve">Less Guilty by Reason of Adolescence: Developmental Immaturity, Diminished Responsibility, and the Juvenile Death Penalty.  </w:t>
      </w:r>
      <w:r w:rsidRPr="00E92F28">
        <w:rPr>
          <w:rFonts w:asciiTheme="minorHAnsi" w:hAnsiTheme="minorHAnsi" w:cstheme="minorHAnsi"/>
          <w:sz w:val="20"/>
          <w:szCs w:val="20"/>
        </w:rPr>
        <w:t xml:space="preserve"> 58 Am. Psychol. 1009 (2003)</w:t>
      </w:r>
    </w:p>
    <w:p w14:paraId="641770A5" w14:textId="77777777" w:rsidR="0005270A" w:rsidRPr="00FC39AA" w:rsidRDefault="0005270A" w:rsidP="003C788D">
      <w:pPr>
        <w:pStyle w:val="FootnoteText"/>
        <w:rPr>
          <w:rFonts w:ascii="Calibri" w:hAnsi="Calibri"/>
        </w:rPr>
      </w:pPr>
    </w:p>
  </w:footnote>
  <w:footnote w:id="9">
    <w:p w14:paraId="72495755" w14:textId="77777777" w:rsidR="0005270A" w:rsidRPr="00E92F28" w:rsidRDefault="0005270A" w:rsidP="003C788D">
      <w:pPr>
        <w:pStyle w:val="ListParagraph"/>
        <w:spacing w:after="0" w:line="240" w:lineRule="auto"/>
        <w:ind w:left="0"/>
        <w:rPr>
          <w:rFonts w:asciiTheme="minorHAnsi" w:eastAsia="BatangChe" w:hAnsiTheme="minorHAnsi" w:cstheme="minorHAnsi"/>
          <w:sz w:val="20"/>
          <w:szCs w:val="20"/>
        </w:rPr>
      </w:pPr>
      <w:r>
        <w:rPr>
          <w:rStyle w:val="FootnoteReference"/>
        </w:rPr>
        <w:footnoteRef/>
      </w:r>
      <w:r>
        <w:t xml:space="preserve"> </w:t>
      </w:r>
      <w:r w:rsidRPr="00E92F28">
        <w:rPr>
          <w:rFonts w:asciiTheme="minorHAnsi" w:eastAsia="BatangChe" w:hAnsiTheme="minorHAnsi" w:cstheme="minorHAnsi"/>
          <w:i/>
          <w:sz w:val="20"/>
          <w:szCs w:val="20"/>
        </w:rPr>
        <w:t>“</w:t>
      </w:r>
      <w:r w:rsidRPr="00E92F28">
        <w:rPr>
          <w:rFonts w:asciiTheme="minorHAnsi" w:eastAsia="BatangChe" w:hAnsiTheme="minorHAnsi" w:cstheme="minorHAnsi"/>
          <w:sz w:val="20"/>
          <w:szCs w:val="20"/>
        </w:rPr>
        <w:t>Interviewing a Child Client” Randee Waldman, The Champion-In Defense of Children: The Juvenile Justice Issue</w:t>
      </w:r>
      <w:r w:rsidRPr="00E92F28">
        <w:rPr>
          <w:rFonts w:asciiTheme="minorHAnsi" w:eastAsia="BatangChe" w:hAnsiTheme="minorHAnsi" w:cstheme="minorHAnsi"/>
          <w:i/>
          <w:sz w:val="20"/>
          <w:szCs w:val="20"/>
        </w:rPr>
        <w:t xml:space="preserve"> </w:t>
      </w:r>
      <w:r w:rsidRPr="00E92F28">
        <w:rPr>
          <w:rFonts w:asciiTheme="minorHAnsi" w:eastAsia="BatangChe" w:hAnsiTheme="minorHAnsi" w:cstheme="minorHAnsi"/>
          <w:sz w:val="20"/>
          <w:szCs w:val="20"/>
        </w:rPr>
        <w:t xml:space="preserve">March 2014 (available at </w:t>
      </w:r>
      <w:hyperlink r:id="rId2" w:history="1">
        <w:r w:rsidRPr="00E92F28">
          <w:rPr>
            <w:rStyle w:val="Hyperlink"/>
            <w:rFonts w:asciiTheme="minorHAnsi" w:eastAsia="BatangChe" w:hAnsiTheme="minorHAnsi" w:cstheme="minorHAnsi"/>
            <w:sz w:val="20"/>
            <w:szCs w:val="20"/>
          </w:rPr>
          <w:t>http://www.nacdl.org/champion.aspx</w:t>
        </w:r>
      </w:hyperlink>
      <w:r w:rsidRPr="00E92F28">
        <w:rPr>
          <w:rFonts w:asciiTheme="minorHAnsi" w:eastAsia="BatangChe" w:hAnsiTheme="minorHAnsi" w:cstheme="minorHAnsi"/>
          <w:sz w:val="20"/>
          <w:szCs w:val="20"/>
        </w:rPr>
        <w:t>)..</w:t>
      </w:r>
    </w:p>
  </w:footnote>
  <w:footnote w:id="10">
    <w:p w14:paraId="02A85F94" w14:textId="77777777" w:rsidR="0005270A" w:rsidRPr="00E92F28" w:rsidRDefault="0005270A" w:rsidP="003C788D">
      <w:pPr>
        <w:pStyle w:val="FootnoteText"/>
        <w:rPr>
          <w:rFonts w:asciiTheme="minorHAnsi" w:hAnsiTheme="minorHAnsi" w:cstheme="minorHAnsi"/>
        </w:rPr>
      </w:pPr>
      <w:r>
        <w:rPr>
          <w:rStyle w:val="FootnoteReference"/>
        </w:rPr>
        <w:footnoteRef/>
      </w:r>
      <w:r>
        <w:t xml:space="preserve"> </w:t>
      </w:r>
      <w:r w:rsidRPr="00E92F28">
        <w:rPr>
          <w:rFonts w:asciiTheme="minorHAnsi" w:hAnsiTheme="minorHAnsi" w:cstheme="minorHAnsi"/>
        </w:rPr>
        <w:t xml:space="preserve">See the WDA Practice Advisory </w:t>
      </w:r>
      <w:hyperlink r:id="rId3" w:history="1">
        <w:r w:rsidRPr="00E92F28">
          <w:rPr>
            <w:rStyle w:val="Hyperlink"/>
            <w:rFonts w:asciiTheme="minorHAnsi" w:hAnsiTheme="minorHAnsi" w:cstheme="minorHAnsi"/>
          </w:rPr>
          <w:t>Plea Offer with Short Deadline</w:t>
        </w:r>
      </w:hyperlink>
      <w:r w:rsidRPr="00E92F28">
        <w:rPr>
          <w:rFonts w:asciiTheme="minorHAnsi" w:hAnsiTheme="minorHAnsi" w:cstheme="minorHAnsi"/>
        </w:rPr>
        <w:t xml:space="preserve"> to get support to push back on a prosecutor or court’s desire to move things along quickly.</w:t>
      </w:r>
    </w:p>
  </w:footnote>
  <w:footnote w:id="11">
    <w:p w14:paraId="10676272" w14:textId="77777777" w:rsidR="0005270A" w:rsidRPr="00E92F28" w:rsidRDefault="0005270A" w:rsidP="003C788D">
      <w:pPr>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w:t>
      </w:r>
      <w:hyperlink r:id="rId4" w:history="1">
        <w:r w:rsidRPr="00E92F28">
          <w:rPr>
            <w:rStyle w:val="Hyperlink"/>
            <w:rFonts w:asciiTheme="minorHAnsi" w:hAnsiTheme="minorHAnsi" w:cstheme="minorHAnsi"/>
            <w:sz w:val="20"/>
            <w:szCs w:val="20"/>
          </w:rPr>
          <w:t>Questioning Juvenile Competencies</w:t>
        </w:r>
      </w:hyperlink>
      <w:r w:rsidRPr="00E92F28">
        <w:rPr>
          <w:rFonts w:asciiTheme="minorHAnsi" w:hAnsiTheme="minorHAnsi" w:cstheme="minorHAnsi"/>
          <w:sz w:val="20"/>
          <w:szCs w:val="20"/>
        </w:rPr>
        <w:t>, Dr. Jennifer Woolard, WDA Defender Conference, April 2011 (Juvenile Track)</w:t>
      </w:r>
    </w:p>
  </w:footnote>
  <w:footnote w:id="12">
    <w:p w14:paraId="6938734D" w14:textId="77777777" w:rsidR="0005270A" w:rsidRPr="00E92F28" w:rsidRDefault="0005270A" w:rsidP="003C788D">
      <w:pPr>
        <w:pStyle w:val="FootnoteText"/>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See WDA training. </w:t>
      </w:r>
      <w:hyperlink r:id="rId5" w:history="1">
        <w:r w:rsidRPr="00E92F28">
          <w:rPr>
            <w:rStyle w:val="Hyperlink"/>
            <w:rFonts w:asciiTheme="minorHAnsi" w:hAnsiTheme="minorHAnsi" w:cstheme="minorHAnsi"/>
          </w:rPr>
          <w:t>Challenging Auto Decline from Juvenile to Superior Cour</w:t>
        </w:r>
      </w:hyperlink>
      <w:r w:rsidRPr="00E92F28">
        <w:rPr>
          <w:rFonts w:asciiTheme="minorHAnsi" w:hAnsiTheme="minorHAnsi" w:cstheme="minorHAnsi"/>
        </w:rPr>
        <w:t>t, Ali Pearson, WDA Webinar 8-20-10</w:t>
      </w:r>
    </w:p>
  </w:footnote>
  <w:footnote w:id="13">
    <w:p w14:paraId="35AC312E" w14:textId="77777777" w:rsidR="0005270A" w:rsidRPr="00E92F28" w:rsidRDefault="0005270A" w:rsidP="003C788D">
      <w:pPr>
        <w:pStyle w:val="FootnoteText"/>
        <w:rPr>
          <w:rFonts w:asciiTheme="minorHAnsi" w:hAnsiTheme="minorHAnsi" w:cstheme="minorHAnsi"/>
        </w:rPr>
      </w:pPr>
      <w:r w:rsidRPr="00E92F28">
        <w:rPr>
          <w:rStyle w:val="FootnoteReference"/>
          <w:rFonts w:asciiTheme="minorHAnsi" w:hAnsiTheme="minorHAnsi" w:cstheme="minorHAnsi"/>
        </w:rPr>
        <w:footnoteRef/>
      </w:r>
      <w:r w:rsidRPr="00E92F28">
        <w:rPr>
          <w:rFonts w:asciiTheme="minorHAnsi" w:hAnsiTheme="minorHAnsi" w:cstheme="minorHAnsi"/>
        </w:rPr>
        <w:t xml:space="preserve"> RCW 13.04.030(1)(e)(v)(E)(III)</w:t>
      </w:r>
      <w:r w:rsidRPr="00E92F28">
        <w:rPr>
          <w:rFonts w:asciiTheme="minorHAnsi" w:hAnsiTheme="minorHAnsi" w:cstheme="minorHAnsi"/>
          <w:i/>
          <w:iCs/>
        </w:rPr>
        <w:t xml:space="preserve"> The prosecutor and respondent may agree to juvenile court jurisdiction and waive application of exclusive adult criminal jurisdiction in (e)(v)(A) through (E) of this subsection and remove the proceeding back to juvenile court with the court's approval.</w:t>
      </w:r>
      <w:r w:rsidRPr="00E92F28">
        <w:rPr>
          <w:rFonts w:asciiTheme="minorHAnsi" w:hAnsiTheme="minorHAnsi" w:cstheme="minorHAnsi"/>
        </w:rPr>
        <w:br/>
      </w:r>
    </w:p>
  </w:footnote>
  <w:footnote w:id="14">
    <w:p w14:paraId="29E7943E" w14:textId="77777777" w:rsidR="0005270A" w:rsidRPr="0030212E" w:rsidRDefault="0005270A" w:rsidP="003C788D">
      <w:pPr>
        <w:rPr>
          <w:rFonts w:asciiTheme="minorHAnsi" w:hAnsiTheme="minorHAnsi" w:cstheme="minorHAnsi"/>
          <w:sz w:val="20"/>
          <w:szCs w:val="20"/>
        </w:rPr>
      </w:pPr>
      <w:r w:rsidRPr="004721D7">
        <w:rPr>
          <w:rStyle w:val="FootnoteReference"/>
          <w:sz w:val="20"/>
          <w:szCs w:val="20"/>
        </w:rPr>
        <w:footnoteRef/>
      </w:r>
      <w:r w:rsidRPr="004721D7">
        <w:rPr>
          <w:sz w:val="20"/>
          <w:szCs w:val="20"/>
        </w:rPr>
        <w:t xml:space="preserve"> </w:t>
      </w:r>
      <w:r w:rsidRPr="0030212E">
        <w:rPr>
          <w:rFonts w:asciiTheme="minorHAnsi" w:hAnsiTheme="minorHAnsi" w:cstheme="minorHAnsi"/>
          <w:i/>
          <w:sz w:val="20"/>
          <w:szCs w:val="20"/>
        </w:rPr>
        <w:t>St v. O’Dell</w:t>
      </w:r>
      <w:r w:rsidRPr="0030212E">
        <w:rPr>
          <w:rFonts w:asciiTheme="minorHAnsi" w:hAnsiTheme="minorHAnsi" w:cstheme="minorHAnsi"/>
          <w:sz w:val="20"/>
          <w:szCs w:val="20"/>
        </w:rPr>
        <w:t>, 183 Wn.2d 680, 358 P.3d 359 (2015).</w:t>
      </w:r>
    </w:p>
  </w:footnote>
  <w:footnote w:id="15">
    <w:p w14:paraId="342EE2E5" w14:textId="77777777" w:rsidR="0005270A" w:rsidRPr="0030212E" w:rsidRDefault="0005270A" w:rsidP="003C788D">
      <w:pPr>
        <w:pStyle w:val="FootnoteText"/>
        <w:rPr>
          <w:rFonts w:asciiTheme="minorHAnsi" w:hAnsiTheme="minorHAnsi" w:cstheme="minorHAnsi"/>
        </w:rPr>
      </w:pPr>
      <w:r w:rsidRPr="0030212E">
        <w:rPr>
          <w:rStyle w:val="FootnoteReference"/>
          <w:rFonts w:asciiTheme="minorHAnsi" w:hAnsiTheme="minorHAnsi" w:cstheme="minorHAnsi"/>
        </w:rPr>
        <w:footnoteRef/>
      </w:r>
      <w:r w:rsidRPr="0030212E">
        <w:rPr>
          <w:rFonts w:asciiTheme="minorHAnsi" w:hAnsiTheme="minorHAnsi" w:cstheme="minorHAnsi"/>
        </w:rPr>
        <w:t xml:space="preserve"> </w:t>
      </w:r>
      <w:r w:rsidRPr="0030212E">
        <w:rPr>
          <w:rFonts w:asciiTheme="minorHAnsi" w:hAnsiTheme="minorHAnsi" w:cstheme="minorHAnsi"/>
          <w:u w:val="single"/>
        </w:rPr>
        <w:t>Id</w:t>
      </w:r>
      <w:r w:rsidRPr="0030212E">
        <w:rPr>
          <w:rFonts w:asciiTheme="minorHAnsi" w:hAnsiTheme="minorHAnsi" w:cstheme="minorHAnsi"/>
        </w:rPr>
        <w:t xml:space="preserve">., in </w:t>
      </w:r>
      <w:r w:rsidRPr="0030212E">
        <w:rPr>
          <w:rFonts w:asciiTheme="minorHAnsi" w:hAnsiTheme="minorHAnsi" w:cstheme="minorHAnsi"/>
          <w:i/>
        </w:rPr>
        <w:t>O’Dell</w:t>
      </w:r>
      <w:r w:rsidRPr="0030212E">
        <w:rPr>
          <w:rFonts w:asciiTheme="minorHAnsi" w:hAnsiTheme="minorHAnsi" w:cstheme="minorHAnsi"/>
        </w:rPr>
        <w:t xml:space="preserve"> the court specifically states that an expert is not required in every case.</w:t>
      </w:r>
    </w:p>
  </w:footnote>
  <w:footnote w:id="16">
    <w:p w14:paraId="05C332E7" w14:textId="77777777" w:rsidR="0005270A" w:rsidRPr="0030212E" w:rsidRDefault="0005270A" w:rsidP="003C788D">
      <w:pPr>
        <w:pStyle w:val="FootnoteText"/>
        <w:rPr>
          <w:rFonts w:asciiTheme="minorHAnsi" w:hAnsiTheme="minorHAnsi" w:cstheme="minorHAnsi"/>
        </w:rPr>
      </w:pPr>
      <w:r w:rsidRPr="0030212E">
        <w:rPr>
          <w:rStyle w:val="FootnoteReference"/>
          <w:rFonts w:asciiTheme="minorHAnsi" w:hAnsiTheme="minorHAnsi" w:cstheme="minorHAnsi"/>
        </w:rPr>
        <w:footnoteRef/>
      </w:r>
      <w:r w:rsidRPr="0030212E">
        <w:rPr>
          <w:rFonts w:asciiTheme="minorHAnsi" w:hAnsiTheme="minorHAnsi" w:cstheme="minorHAnsi"/>
        </w:rPr>
        <w:t xml:space="preserve"> RCW 9.94A.730 provides that youth convicted and sentenced as adults are eligible for early release in long sentences after serving 20 years. </w:t>
      </w:r>
    </w:p>
  </w:footnote>
  <w:footnote w:id="17">
    <w:p w14:paraId="2C8474E0" w14:textId="77777777" w:rsidR="0005270A" w:rsidRPr="00B84B8A" w:rsidRDefault="0005270A" w:rsidP="003C788D">
      <w:pPr>
        <w:pStyle w:val="FootnoteText"/>
      </w:pPr>
      <w:r w:rsidRPr="00857314">
        <w:rPr>
          <w:rStyle w:val="FootnoteReference"/>
          <w:rFonts w:ascii="Calibri" w:hAnsi="Calibri"/>
        </w:rPr>
        <w:footnoteRef/>
      </w:r>
      <w:r w:rsidRPr="00857314">
        <w:rPr>
          <w:rFonts w:ascii="Calibri" w:hAnsi="Calibri"/>
        </w:rPr>
        <w:t xml:space="preserve"> </w:t>
      </w:r>
      <w:r w:rsidRPr="00E92F28">
        <w:rPr>
          <w:rFonts w:asciiTheme="minorHAnsi" w:hAnsiTheme="minorHAnsi" w:cstheme="minorHAnsi"/>
        </w:rPr>
        <w:t>RCW 9.94A.535(1)(a) (c),(d),(e) and (g) could easily apply with a youthful client</w:t>
      </w:r>
      <w:r w:rsidRPr="00B84B8A">
        <w:t xml:space="preserve">. </w:t>
      </w:r>
    </w:p>
  </w:footnote>
  <w:footnote w:id="18">
    <w:p w14:paraId="70848E9D" w14:textId="77777777" w:rsidR="0005270A" w:rsidRPr="00B42E79" w:rsidRDefault="0005270A" w:rsidP="004721D7">
      <w:pPr>
        <w:pStyle w:val="FootnoteText"/>
        <w:rPr>
          <w:rFonts w:ascii="Arial" w:hAnsi="Arial" w:cs="Arial"/>
        </w:rPr>
      </w:pPr>
      <w:r w:rsidRPr="008476C9">
        <w:rPr>
          <w:rStyle w:val="FootnoteReference"/>
          <w:rFonts w:ascii="Arial" w:hAnsi="Arial" w:cs="Arial"/>
          <w:i/>
        </w:rPr>
        <w:footnoteRef/>
      </w:r>
      <w:r w:rsidRPr="008476C9">
        <w:rPr>
          <w:rFonts w:ascii="Arial" w:hAnsi="Arial" w:cs="Arial"/>
          <w:i/>
        </w:rPr>
        <w:t xml:space="preserve"> </w:t>
      </w:r>
      <w:r w:rsidRPr="008476C9">
        <w:rPr>
          <w:rFonts w:asciiTheme="minorHAnsi" w:hAnsiTheme="minorHAnsi" w:cstheme="minorHAnsi"/>
          <w:i/>
        </w:rPr>
        <w:t>I</w:t>
      </w:r>
      <w:r w:rsidRPr="003B13ED">
        <w:rPr>
          <w:rFonts w:asciiTheme="minorHAnsi" w:hAnsiTheme="minorHAnsi" w:cstheme="minorHAnsi"/>
          <w:i/>
        </w:rPr>
        <w:t>n re Boot</w:t>
      </w:r>
      <w:r w:rsidRPr="003B13ED">
        <w:rPr>
          <w:rFonts w:asciiTheme="minorHAnsi" w:hAnsiTheme="minorHAnsi" w:cstheme="minorHAnsi"/>
        </w:rPr>
        <w:t>, 130 Wn.2d 553, 925 P.2d 964 (1996)</w:t>
      </w:r>
    </w:p>
  </w:footnote>
  <w:footnote w:id="19">
    <w:p w14:paraId="286003B0" w14:textId="77777777" w:rsidR="0005270A" w:rsidRPr="00E43BAC" w:rsidRDefault="0005270A" w:rsidP="004721D7">
      <w:pPr>
        <w:pStyle w:val="FootnoteText"/>
        <w:rPr>
          <w:rFonts w:ascii="Arial" w:hAnsi="Arial" w:cs="Arial"/>
        </w:rPr>
      </w:pPr>
      <w:r>
        <w:rPr>
          <w:rStyle w:val="FootnoteReference"/>
        </w:rPr>
        <w:footnoteRef/>
      </w:r>
      <w:r>
        <w:t xml:space="preserve"> </w:t>
      </w:r>
      <w:r w:rsidRPr="00AA4672">
        <w:rPr>
          <w:rFonts w:ascii="Calibri" w:hAnsi="Calibri" w:cs="Calibri"/>
          <w:i/>
        </w:rPr>
        <w:t>Graham v. Florida</w:t>
      </w:r>
      <w:r w:rsidRPr="00AA4672">
        <w:rPr>
          <w:rFonts w:ascii="Calibri" w:hAnsi="Calibri" w:cs="Calibri"/>
        </w:rPr>
        <w:t>, 560 U.S. 48, 130 S. Ct. 2011, 176 L. Ed. 2d 825 (2010)</w:t>
      </w:r>
      <w:r w:rsidRPr="00E43BAC">
        <w:rPr>
          <w:rFonts w:ascii="Arial" w:hAnsi="Arial" w:cs="Arial"/>
        </w:rPr>
        <w:t xml:space="preserve">, </w:t>
      </w:r>
    </w:p>
  </w:footnote>
  <w:footnote w:id="20">
    <w:p w14:paraId="067A4B16" w14:textId="77777777" w:rsidR="0005270A" w:rsidRPr="00E43BAC" w:rsidRDefault="0005270A" w:rsidP="004721D7">
      <w:pPr>
        <w:pStyle w:val="FootnoteText"/>
        <w:rPr>
          <w:rFonts w:ascii="Arial" w:hAnsi="Arial" w:cs="Arial"/>
        </w:rPr>
      </w:pPr>
      <w:r w:rsidRPr="00E43BAC">
        <w:rPr>
          <w:rStyle w:val="FootnoteReference"/>
          <w:rFonts w:ascii="Arial" w:hAnsi="Arial" w:cs="Arial"/>
        </w:rPr>
        <w:footnoteRef/>
      </w:r>
      <w:r w:rsidRPr="00E43BAC">
        <w:rPr>
          <w:rFonts w:ascii="Arial" w:hAnsi="Arial" w:cs="Arial"/>
        </w:rPr>
        <w:t xml:space="preserve"> </w:t>
      </w:r>
      <w:r w:rsidRPr="00AA4672">
        <w:rPr>
          <w:rFonts w:ascii="Calibri" w:hAnsi="Calibri" w:cs="Calibri"/>
          <w:i/>
        </w:rPr>
        <w:t>Miller v. Alabama</w:t>
      </w:r>
      <w:r w:rsidRPr="00AA4672">
        <w:rPr>
          <w:rFonts w:ascii="Calibri" w:hAnsi="Calibri" w:cs="Calibri"/>
        </w:rPr>
        <w:t>, 567 U.S. 13</w:t>
      </w:r>
      <w:r>
        <w:rPr>
          <w:rFonts w:ascii="Calibri" w:hAnsi="Calibri" w:cs="Calibri"/>
        </w:rPr>
        <w:t>2 S. Ct. 2455, 183 L. Ed. 2d 40</w:t>
      </w:r>
      <w:r w:rsidRPr="00AA4672">
        <w:rPr>
          <w:rFonts w:ascii="Calibri" w:hAnsi="Calibri" w:cs="Calibri"/>
        </w:rPr>
        <w:t>7 (2012)</w:t>
      </w:r>
    </w:p>
  </w:footnote>
  <w:footnote w:id="21">
    <w:p w14:paraId="1C9F3DCC" w14:textId="77777777" w:rsidR="0005270A" w:rsidRDefault="0005270A" w:rsidP="003C788D">
      <w:pPr>
        <w:pStyle w:val="FootnoteText"/>
      </w:pPr>
      <w:r w:rsidRPr="00CF7D86">
        <w:rPr>
          <w:rStyle w:val="FootnoteReference"/>
        </w:rPr>
        <w:footnoteRef/>
      </w:r>
      <w:r w:rsidRPr="00CF7D86">
        <w:t xml:space="preserve"> See the WDA Practice Advisories found</w:t>
      </w:r>
      <w:r w:rsidRPr="00393D96">
        <w:t xml:space="preserve"> in the subfolder </w:t>
      </w:r>
      <w:hyperlink r:id="rId6" w:history="1">
        <w:r w:rsidRPr="00393D96">
          <w:rPr>
            <w:rStyle w:val="Hyperlink"/>
          </w:rPr>
          <w:t>Youth in Adult Court</w:t>
        </w:r>
      </w:hyperlink>
      <w:r w:rsidRPr="00393D96">
        <w:t>.</w:t>
      </w:r>
      <w:r w:rsidRPr="00393D96">
        <w:rPr>
          <w:vertAlign w:val="superscript"/>
        </w:rPr>
        <w:footnoteRef/>
      </w:r>
    </w:p>
  </w:footnote>
  <w:footnote w:id="22">
    <w:p w14:paraId="2412746E" w14:textId="77777777" w:rsidR="0005270A" w:rsidRPr="0030212E" w:rsidRDefault="0005270A" w:rsidP="003C788D">
      <w:pPr>
        <w:rPr>
          <w:rFonts w:asciiTheme="minorHAnsi" w:hAnsiTheme="minorHAnsi" w:cstheme="minorHAnsi"/>
          <w:color w:val="000000"/>
          <w:sz w:val="20"/>
          <w:szCs w:val="20"/>
        </w:rPr>
      </w:pPr>
      <w:r>
        <w:rPr>
          <w:rStyle w:val="FootnoteReference"/>
        </w:rPr>
        <w:footnoteRef/>
      </w:r>
      <w:r>
        <w:t xml:space="preserve"> </w:t>
      </w:r>
      <w:r w:rsidRPr="0030212E">
        <w:rPr>
          <w:rFonts w:asciiTheme="minorHAnsi" w:hAnsiTheme="minorHAnsi" w:cstheme="minorHAnsi"/>
          <w:sz w:val="20"/>
          <w:szCs w:val="20"/>
        </w:rPr>
        <w:t xml:space="preserve">See </w:t>
      </w:r>
      <w:r w:rsidRPr="0030212E">
        <w:rPr>
          <w:rFonts w:asciiTheme="minorHAnsi" w:hAnsiTheme="minorHAnsi" w:cstheme="minorHAnsi"/>
          <w:i/>
          <w:sz w:val="20"/>
          <w:szCs w:val="20"/>
        </w:rPr>
        <w:t>St. v. Ronquillo</w:t>
      </w:r>
      <w:r w:rsidRPr="0030212E">
        <w:rPr>
          <w:rFonts w:asciiTheme="minorHAnsi" w:hAnsiTheme="minorHAnsi" w:cstheme="minorHAnsi"/>
          <w:sz w:val="20"/>
          <w:szCs w:val="20"/>
        </w:rPr>
        <w:t xml:space="preserve">, ___ Wn.App ___, 2015 WL 6447740, (Div I Oct. 2015) </w:t>
      </w:r>
      <w:r w:rsidRPr="0030212E">
        <w:rPr>
          <w:rFonts w:asciiTheme="minorHAnsi" w:hAnsiTheme="minorHAnsi" w:cstheme="minorHAnsi"/>
          <w:i/>
          <w:sz w:val="20"/>
          <w:szCs w:val="20"/>
        </w:rPr>
        <w:t>St. v Joel Ramos</w:t>
      </w:r>
      <w:r w:rsidRPr="0030212E">
        <w:rPr>
          <w:rFonts w:asciiTheme="minorHAnsi" w:hAnsiTheme="minorHAnsi" w:cstheme="minorHAnsi"/>
          <w:sz w:val="20"/>
          <w:szCs w:val="20"/>
        </w:rPr>
        <w:t xml:space="preserve"> (189 Wn.App 431, Div III, Aug 2015). The WDA Brief Bank includes a copy of the Ramos </w:t>
      </w:r>
      <w:hyperlink r:id="rId7" w:history="1">
        <w:r w:rsidRPr="0030212E">
          <w:rPr>
            <w:rStyle w:val="Hyperlink"/>
            <w:rFonts w:asciiTheme="minorHAnsi" w:hAnsiTheme="minorHAnsi" w:cstheme="minorHAnsi"/>
            <w:sz w:val="20"/>
            <w:szCs w:val="20"/>
          </w:rPr>
          <w:t>Appellant’s Opening Brief</w:t>
        </w:r>
      </w:hyperlink>
      <w:r w:rsidRPr="0030212E">
        <w:rPr>
          <w:rFonts w:asciiTheme="minorHAnsi" w:hAnsiTheme="minorHAnsi" w:cstheme="minorHAnsi"/>
          <w:sz w:val="20"/>
          <w:szCs w:val="20"/>
        </w:rPr>
        <w:t xml:space="preserve">.  In Iowa on July 18, 2014, the Iowa State Supreme Court struck down any mandatory sentencing for youth pursuant to </w:t>
      </w:r>
      <w:r w:rsidRPr="0030212E">
        <w:rPr>
          <w:rFonts w:asciiTheme="minorHAnsi" w:hAnsiTheme="minorHAnsi" w:cstheme="minorHAnsi"/>
          <w:sz w:val="20"/>
          <w:szCs w:val="20"/>
          <w:u w:val="single"/>
        </w:rPr>
        <w:t>Miller v. Alabama</w:t>
      </w:r>
      <w:r w:rsidRPr="0030212E">
        <w:rPr>
          <w:rFonts w:asciiTheme="minorHAnsi" w:hAnsiTheme="minorHAnsi" w:cstheme="minorHAnsi"/>
          <w:sz w:val="20"/>
          <w:szCs w:val="20"/>
        </w:rPr>
        <w:t xml:space="preserve">, </w:t>
      </w:r>
      <w:hyperlink r:id="rId8" w:history="1">
        <w:r w:rsidRPr="0030212E">
          <w:rPr>
            <w:rStyle w:val="Hyperlink"/>
            <w:rFonts w:asciiTheme="minorHAnsi" w:hAnsiTheme="minorHAnsi" w:cstheme="minorHAnsi"/>
            <w:sz w:val="20"/>
            <w:szCs w:val="20"/>
          </w:rPr>
          <w:t>State v. Lyle,__ Iowa _ (No. 11-1339, 7/18/14)</w:t>
        </w:r>
        <w:r w:rsidRPr="0030212E">
          <w:rPr>
            <w:rStyle w:val="Hyperlink"/>
            <w:rFonts w:asciiTheme="minorHAnsi" w:hAnsiTheme="minorHAnsi" w:cstheme="minorHAnsi"/>
          </w:rPr>
          <w:t>.</w:t>
        </w:r>
      </w:hyperlink>
      <w:r w:rsidRPr="0030212E">
        <w:rPr>
          <w:rFonts w:asciiTheme="minorHAnsi" w:hAnsiTheme="minorHAnsi" w:cstheme="minorHAnsi"/>
        </w:rPr>
        <w:t xml:space="preserve"> </w:t>
      </w:r>
      <w:r w:rsidRPr="0030212E">
        <w:rPr>
          <w:rFonts w:asciiTheme="minorHAnsi" w:hAnsiTheme="minorHAnsi" w:cstheme="minorHAnsi"/>
          <w:color w:val="000000"/>
          <w:sz w:val="20"/>
          <w:szCs w:val="20"/>
        </w:rPr>
        <w:t xml:space="preserve">Even though 2014 legislation (2ESSB 5064) gives youth sentenced to more than 20 years a review hearing before the ISRB and possible early release, not everyone is eligible for a hearing. RCW 9.94A.730. </w:t>
      </w:r>
    </w:p>
  </w:footnote>
  <w:footnote w:id="23">
    <w:p w14:paraId="73097813" w14:textId="77777777" w:rsidR="0005270A" w:rsidRPr="0030212E" w:rsidRDefault="0005270A" w:rsidP="003C788D">
      <w:pPr>
        <w:pStyle w:val="FootnoteText"/>
        <w:rPr>
          <w:rFonts w:asciiTheme="minorHAnsi" w:hAnsiTheme="minorHAnsi" w:cstheme="minorHAnsi"/>
        </w:rPr>
      </w:pPr>
      <w:r w:rsidRPr="0030212E">
        <w:rPr>
          <w:rStyle w:val="FootnoteReference"/>
          <w:rFonts w:asciiTheme="minorHAnsi" w:hAnsiTheme="minorHAnsi" w:cstheme="minorHAnsi"/>
        </w:rPr>
        <w:footnoteRef/>
      </w:r>
      <w:r w:rsidRPr="0030212E">
        <w:rPr>
          <w:rFonts w:asciiTheme="minorHAnsi" w:hAnsiTheme="minorHAnsi" w:cstheme="minorHAnsi"/>
        </w:rPr>
        <w:t xml:space="preserve"> RCW 9.94A.730</w:t>
      </w:r>
    </w:p>
  </w:footnote>
  <w:footnote w:id="24">
    <w:p w14:paraId="4D50621E" w14:textId="77777777" w:rsidR="0005270A" w:rsidRPr="0030212E" w:rsidRDefault="0005270A" w:rsidP="003C788D">
      <w:pPr>
        <w:pStyle w:val="FootnoteText"/>
        <w:rPr>
          <w:rFonts w:asciiTheme="minorHAnsi" w:hAnsiTheme="minorHAnsi" w:cstheme="minorHAnsi"/>
        </w:rPr>
      </w:pPr>
      <w:r w:rsidRPr="0030212E">
        <w:rPr>
          <w:rStyle w:val="FootnoteReference"/>
          <w:rFonts w:asciiTheme="minorHAnsi" w:hAnsiTheme="minorHAnsi" w:cstheme="minorHAnsi"/>
        </w:rPr>
        <w:footnoteRef/>
      </w:r>
      <w:r w:rsidRPr="0030212E">
        <w:rPr>
          <w:rFonts w:asciiTheme="minorHAnsi" w:hAnsiTheme="minorHAnsi" w:cstheme="minorHAnsi"/>
        </w:rPr>
        <w:t xml:space="preserve"> RCW 10.95.030(3), 10.95.035 </w:t>
      </w:r>
    </w:p>
  </w:footnote>
  <w:footnote w:id="25">
    <w:p w14:paraId="1FD1046C" w14:textId="77777777" w:rsidR="0005270A" w:rsidRPr="0030212E" w:rsidRDefault="0005270A" w:rsidP="003C788D">
      <w:pPr>
        <w:pStyle w:val="FootnoteText"/>
        <w:rPr>
          <w:rFonts w:asciiTheme="minorHAnsi" w:hAnsiTheme="minorHAnsi" w:cstheme="minorHAnsi"/>
        </w:rPr>
      </w:pPr>
      <w:r w:rsidRPr="0030212E">
        <w:rPr>
          <w:rStyle w:val="FootnoteReference"/>
          <w:rFonts w:asciiTheme="minorHAnsi" w:hAnsiTheme="minorHAnsi" w:cstheme="minorHAnsi"/>
        </w:rPr>
        <w:footnoteRef/>
      </w:r>
      <w:r w:rsidRPr="0030212E">
        <w:rPr>
          <w:rFonts w:asciiTheme="minorHAnsi" w:hAnsiTheme="minorHAnsi" w:cstheme="minorHAnsi"/>
        </w:rPr>
        <w:t xml:space="preserve"> </w:t>
      </w:r>
      <w:r w:rsidRPr="0030212E">
        <w:rPr>
          <w:rFonts w:asciiTheme="minorHAnsi" w:hAnsiTheme="minorHAnsi" w:cstheme="minorHAnsi"/>
          <w:i/>
        </w:rPr>
        <w:t>See</w:t>
      </w:r>
      <w:r w:rsidRPr="0030212E">
        <w:rPr>
          <w:rFonts w:asciiTheme="minorHAnsi" w:hAnsiTheme="minorHAnsi" w:cstheme="minorHAnsi"/>
        </w:rPr>
        <w:t xml:space="preserve"> </w:t>
      </w:r>
      <w:r w:rsidRPr="0030212E">
        <w:rPr>
          <w:rFonts w:asciiTheme="minorHAnsi" w:hAnsiTheme="minorHAnsi" w:cstheme="minorHAnsi"/>
          <w:u w:val="single"/>
        </w:rPr>
        <w:t>St v Ronquillo</w:t>
      </w:r>
      <w:r w:rsidRPr="0030212E">
        <w:rPr>
          <w:rFonts w:asciiTheme="minorHAnsi" w:hAnsiTheme="minorHAnsi" w:cstheme="minorHAnsi"/>
        </w:rPr>
        <w:t>, ___ Wn.App ___, (Div I, Oct 2015)(2015 WL 6447440)</w:t>
      </w:r>
      <w:r w:rsidRPr="0030212E">
        <w:rPr>
          <w:rFonts w:asciiTheme="minorHAnsi" w:hAnsiTheme="minorHAnsi" w:cstheme="minorHAnsi"/>
          <w:u w:val="single"/>
        </w:rPr>
        <w:t>St .v. Null</w:t>
      </w:r>
      <w:r w:rsidRPr="0030212E">
        <w:rPr>
          <w:rFonts w:asciiTheme="minorHAnsi" w:hAnsiTheme="minorHAnsi" w:cstheme="minorHAnsi"/>
        </w:rPr>
        <w:t xml:space="preserve">, 836 NW.2d 41 (Iowa, 2013)(52.5 year minimum sentence of a 75 year aggregate sentence for murder and robbery violates </w:t>
      </w:r>
      <w:r w:rsidRPr="0030212E">
        <w:rPr>
          <w:rFonts w:asciiTheme="minorHAnsi" w:hAnsiTheme="minorHAnsi" w:cstheme="minorHAnsi"/>
          <w:u w:val="single"/>
        </w:rPr>
        <w:t>Miller</w:t>
      </w:r>
      <w:r w:rsidRPr="0030212E">
        <w:rPr>
          <w:rFonts w:asciiTheme="minorHAnsi" w:hAnsiTheme="minorHAnsi" w:cstheme="minorHAnsi"/>
        </w:rPr>
        <w:t xml:space="preserve"> for defendant who was 16 at the time of the offense)</w:t>
      </w:r>
    </w:p>
  </w:footnote>
  <w:footnote w:id="26">
    <w:p w14:paraId="30A36FD0" w14:textId="77777777" w:rsidR="0005270A" w:rsidRPr="0030212E" w:rsidRDefault="0005270A" w:rsidP="003C788D">
      <w:pPr>
        <w:pStyle w:val="FootnoteText"/>
        <w:rPr>
          <w:rFonts w:asciiTheme="minorHAnsi" w:hAnsiTheme="minorHAnsi" w:cstheme="minorHAnsi"/>
        </w:rPr>
      </w:pPr>
      <w:r w:rsidRPr="0030212E">
        <w:rPr>
          <w:rStyle w:val="FootnoteReference"/>
          <w:rFonts w:asciiTheme="minorHAnsi" w:hAnsiTheme="minorHAnsi" w:cstheme="minorHAnsi"/>
        </w:rPr>
        <w:footnoteRef/>
      </w:r>
      <w:r w:rsidRPr="0030212E">
        <w:rPr>
          <w:rFonts w:asciiTheme="minorHAnsi" w:hAnsiTheme="minorHAnsi" w:cstheme="minorHAnsi"/>
        </w:rPr>
        <w:t xml:space="preserve"> RCW 9.94A.730 provides for early release of individuals convicted of crimes before their 18</w:t>
      </w:r>
      <w:r w:rsidRPr="0030212E">
        <w:rPr>
          <w:rFonts w:asciiTheme="minorHAnsi" w:hAnsiTheme="minorHAnsi" w:cstheme="minorHAnsi"/>
          <w:vertAlign w:val="superscript"/>
        </w:rPr>
        <w:t>th</w:t>
      </w:r>
      <w:r w:rsidRPr="0030212E">
        <w:rPr>
          <w:rFonts w:asciiTheme="minorHAnsi" w:hAnsiTheme="minorHAnsi" w:cstheme="minorHAnsi"/>
        </w:rPr>
        <w:t xml:space="preserve"> birthday after serving 20 years, but individuals are not eligible if they have a conviction subsequent to their 18</w:t>
      </w:r>
      <w:r w:rsidRPr="0030212E">
        <w:rPr>
          <w:rFonts w:asciiTheme="minorHAnsi" w:hAnsiTheme="minorHAnsi" w:cstheme="minorHAnsi"/>
          <w:vertAlign w:val="superscript"/>
        </w:rPr>
        <w:t>th</w:t>
      </w:r>
      <w:r w:rsidRPr="0030212E">
        <w:rPr>
          <w:rFonts w:asciiTheme="minorHAnsi" w:hAnsiTheme="minorHAnsi" w:cstheme="minorHAnsi"/>
        </w:rPr>
        <w:t xml:space="preserve"> birthday.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F330B"/>
    <w:multiLevelType w:val="hybridMultilevel"/>
    <w:tmpl w:val="0442D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C5193"/>
    <w:multiLevelType w:val="hybridMultilevel"/>
    <w:tmpl w:val="C7F4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21964"/>
    <w:multiLevelType w:val="hybridMultilevel"/>
    <w:tmpl w:val="960A7F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30C01FE"/>
    <w:multiLevelType w:val="hybridMultilevel"/>
    <w:tmpl w:val="D400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4463A2"/>
    <w:multiLevelType w:val="hybridMultilevel"/>
    <w:tmpl w:val="EFA41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E76F5"/>
    <w:multiLevelType w:val="hybridMultilevel"/>
    <w:tmpl w:val="BD9C9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D41AF8"/>
    <w:multiLevelType w:val="hybridMultilevel"/>
    <w:tmpl w:val="9D52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A0061C"/>
    <w:multiLevelType w:val="hybridMultilevel"/>
    <w:tmpl w:val="2F5AEB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BF50775"/>
    <w:multiLevelType w:val="hybridMultilevel"/>
    <w:tmpl w:val="81AE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6"/>
  </w:num>
  <w:num w:numId="5">
    <w:abstractNumId w:val="4"/>
  </w:num>
  <w:num w:numId="6">
    <w:abstractNumId w:val="7"/>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email"/>
    <w:dataType w:val="textFile"/>
    <w:activeRecord w:val="-1"/>
    <w:odso/>
  </w:mailMerg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A13"/>
    <w:rsid w:val="00002A8F"/>
    <w:rsid w:val="0000313E"/>
    <w:rsid w:val="00003158"/>
    <w:rsid w:val="00004B16"/>
    <w:rsid w:val="00005125"/>
    <w:rsid w:val="00006818"/>
    <w:rsid w:val="000104AD"/>
    <w:rsid w:val="00012925"/>
    <w:rsid w:val="00023FC8"/>
    <w:rsid w:val="00024C06"/>
    <w:rsid w:val="00024E97"/>
    <w:rsid w:val="00025CE3"/>
    <w:rsid w:val="00025EB8"/>
    <w:rsid w:val="000273BD"/>
    <w:rsid w:val="0003151C"/>
    <w:rsid w:val="00032918"/>
    <w:rsid w:val="0003672E"/>
    <w:rsid w:val="000426E4"/>
    <w:rsid w:val="0005270A"/>
    <w:rsid w:val="00053E56"/>
    <w:rsid w:val="000575CF"/>
    <w:rsid w:val="000606AD"/>
    <w:rsid w:val="00063236"/>
    <w:rsid w:val="00063D51"/>
    <w:rsid w:val="00064BFC"/>
    <w:rsid w:val="00066FC4"/>
    <w:rsid w:val="00070351"/>
    <w:rsid w:val="0007514C"/>
    <w:rsid w:val="00077D90"/>
    <w:rsid w:val="000823E4"/>
    <w:rsid w:val="000835D9"/>
    <w:rsid w:val="00085889"/>
    <w:rsid w:val="000864D8"/>
    <w:rsid w:val="00090476"/>
    <w:rsid w:val="000912D1"/>
    <w:rsid w:val="00092A92"/>
    <w:rsid w:val="00092ED7"/>
    <w:rsid w:val="00093EBF"/>
    <w:rsid w:val="000940CF"/>
    <w:rsid w:val="000945C6"/>
    <w:rsid w:val="00095786"/>
    <w:rsid w:val="00097EFA"/>
    <w:rsid w:val="000A1174"/>
    <w:rsid w:val="000A1199"/>
    <w:rsid w:val="000A231D"/>
    <w:rsid w:val="000A2812"/>
    <w:rsid w:val="000A3EAA"/>
    <w:rsid w:val="000A5A30"/>
    <w:rsid w:val="000A72F4"/>
    <w:rsid w:val="000B02D6"/>
    <w:rsid w:val="000B0BBA"/>
    <w:rsid w:val="000B112C"/>
    <w:rsid w:val="000B1F11"/>
    <w:rsid w:val="000B29BC"/>
    <w:rsid w:val="000B4722"/>
    <w:rsid w:val="000B4E78"/>
    <w:rsid w:val="000B753B"/>
    <w:rsid w:val="000B7B53"/>
    <w:rsid w:val="000C2376"/>
    <w:rsid w:val="000C3F8A"/>
    <w:rsid w:val="000C401D"/>
    <w:rsid w:val="000C4913"/>
    <w:rsid w:val="000D1A20"/>
    <w:rsid w:val="000D367A"/>
    <w:rsid w:val="000D3D44"/>
    <w:rsid w:val="000E39B7"/>
    <w:rsid w:val="000E50D3"/>
    <w:rsid w:val="000E56F3"/>
    <w:rsid w:val="000E6D59"/>
    <w:rsid w:val="000F003E"/>
    <w:rsid w:val="000F5FB8"/>
    <w:rsid w:val="000F7A0A"/>
    <w:rsid w:val="00100C57"/>
    <w:rsid w:val="00101606"/>
    <w:rsid w:val="001058E6"/>
    <w:rsid w:val="00106840"/>
    <w:rsid w:val="00107125"/>
    <w:rsid w:val="0010795B"/>
    <w:rsid w:val="0011336D"/>
    <w:rsid w:val="0011517D"/>
    <w:rsid w:val="00117244"/>
    <w:rsid w:val="0012109A"/>
    <w:rsid w:val="001305CD"/>
    <w:rsid w:val="00130AF7"/>
    <w:rsid w:val="00131509"/>
    <w:rsid w:val="00131DC3"/>
    <w:rsid w:val="001322DA"/>
    <w:rsid w:val="001336A1"/>
    <w:rsid w:val="001357A9"/>
    <w:rsid w:val="0013763B"/>
    <w:rsid w:val="001407AC"/>
    <w:rsid w:val="00140ED9"/>
    <w:rsid w:val="001458B6"/>
    <w:rsid w:val="001518DF"/>
    <w:rsid w:val="0015603D"/>
    <w:rsid w:val="00156C1F"/>
    <w:rsid w:val="00156D0D"/>
    <w:rsid w:val="00161693"/>
    <w:rsid w:val="001665CF"/>
    <w:rsid w:val="00171322"/>
    <w:rsid w:val="00174229"/>
    <w:rsid w:val="00177688"/>
    <w:rsid w:val="001804FD"/>
    <w:rsid w:val="001807AF"/>
    <w:rsid w:val="001879B1"/>
    <w:rsid w:val="00187CE3"/>
    <w:rsid w:val="001907AF"/>
    <w:rsid w:val="00190B16"/>
    <w:rsid w:val="00193A61"/>
    <w:rsid w:val="001948D9"/>
    <w:rsid w:val="00195446"/>
    <w:rsid w:val="001968C9"/>
    <w:rsid w:val="00196A9C"/>
    <w:rsid w:val="001A2B1D"/>
    <w:rsid w:val="001A3A23"/>
    <w:rsid w:val="001A4D92"/>
    <w:rsid w:val="001B0F00"/>
    <w:rsid w:val="001B113D"/>
    <w:rsid w:val="001B3498"/>
    <w:rsid w:val="001B3914"/>
    <w:rsid w:val="001B4DE2"/>
    <w:rsid w:val="001B4E71"/>
    <w:rsid w:val="001C0083"/>
    <w:rsid w:val="001C105A"/>
    <w:rsid w:val="001C1E0A"/>
    <w:rsid w:val="001C2044"/>
    <w:rsid w:val="001C3727"/>
    <w:rsid w:val="001C4068"/>
    <w:rsid w:val="001C568D"/>
    <w:rsid w:val="001C59AA"/>
    <w:rsid w:val="001C6593"/>
    <w:rsid w:val="001C733A"/>
    <w:rsid w:val="001D20D0"/>
    <w:rsid w:val="001D3395"/>
    <w:rsid w:val="001D441D"/>
    <w:rsid w:val="001D5222"/>
    <w:rsid w:val="001D6021"/>
    <w:rsid w:val="001D767B"/>
    <w:rsid w:val="001D7CD1"/>
    <w:rsid w:val="001E2198"/>
    <w:rsid w:val="001E2631"/>
    <w:rsid w:val="001E2C70"/>
    <w:rsid w:val="001E3EFC"/>
    <w:rsid w:val="001F4152"/>
    <w:rsid w:val="001F64BE"/>
    <w:rsid w:val="001F7D27"/>
    <w:rsid w:val="002005B5"/>
    <w:rsid w:val="00200B5A"/>
    <w:rsid w:val="002026C6"/>
    <w:rsid w:val="002028AF"/>
    <w:rsid w:val="002051E3"/>
    <w:rsid w:val="002052FD"/>
    <w:rsid w:val="002056D9"/>
    <w:rsid w:val="00206F08"/>
    <w:rsid w:val="00207095"/>
    <w:rsid w:val="0021099D"/>
    <w:rsid w:val="00211A87"/>
    <w:rsid w:val="00211D59"/>
    <w:rsid w:val="00212FD6"/>
    <w:rsid w:val="00214411"/>
    <w:rsid w:val="00221858"/>
    <w:rsid w:val="00223C7D"/>
    <w:rsid w:val="002276CE"/>
    <w:rsid w:val="0023007E"/>
    <w:rsid w:val="002301DA"/>
    <w:rsid w:val="002311AF"/>
    <w:rsid w:val="00231B06"/>
    <w:rsid w:val="00233824"/>
    <w:rsid w:val="0023648A"/>
    <w:rsid w:val="00237D85"/>
    <w:rsid w:val="00240DE6"/>
    <w:rsid w:val="002430BF"/>
    <w:rsid w:val="00246249"/>
    <w:rsid w:val="00252F37"/>
    <w:rsid w:val="00253A6A"/>
    <w:rsid w:val="002563EE"/>
    <w:rsid w:val="002655C0"/>
    <w:rsid w:val="00274AA0"/>
    <w:rsid w:val="00277A53"/>
    <w:rsid w:val="00280654"/>
    <w:rsid w:val="00280EC1"/>
    <w:rsid w:val="00281276"/>
    <w:rsid w:val="002828B6"/>
    <w:rsid w:val="002849B8"/>
    <w:rsid w:val="00285412"/>
    <w:rsid w:val="0028557D"/>
    <w:rsid w:val="0029172F"/>
    <w:rsid w:val="00293726"/>
    <w:rsid w:val="0029492A"/>
    <w:rsid w:val="002A0F60"/>
    <w:rsid w:val="002A1EAD"/>
    <w:rsid w:val="002A382C"/>
    <w:rsid w:val="002A55F1"/>
    <w:rsid w:val="002A5933"/>
    <w:rsid w:val="002B0CFC"/>
    <w:rsid w:val="002B1418"/>
    <w:rsid w:val="002B36D0"/>
    <w:rsid w:val="002B39E3"/>
    <w:rsid w:val="002B4603"/>
    <w:rsid w:val="002B4D7A"/>
    <w:rsid w:val="002B6396"/>
    <w:rsid w:val="002B6466"/>
    <w:rsid w:val="002B64E9"/>
    <w:rsid w:val="002C038D"/>
    <w:rsid w:val="002C276D"/>
    <w:rsid w:val="002C6AA1"/>
    <w:rsid w:val="002C6E59"/>
    <w:rsid w:val="002C76D5"/>
    <w:rsid w:val="002C7D01"/>
    <w:rsid w:val="002D1057"/>
    <w:rsid w:val="002D3591"/>
    <w:rsid w:val="002D383D"/>
    <w:rsid w:val="002D5630"/>
    <w:rsid w:val="002D5A3E"/>
    <w:rsid w:val="002E256D"/>
    <w:rsid w:val="002E2EE1"/>
    <w:rsid w:val="002E363D"/>
    <w:rsid w:val="002E783F"/>
    <w:rsid w:val="002E7BAF"/>
    <w:rsid w:val="002F0EC4"/>
    <w:rsid w:val="002F16FB"/>
    <w:rsid w:val="002F274B"/>
    <w:rsid w:val="002F285C"/>
    <w:rsid w:val="002F3B9B"/>
    <w:rsid w:val="0030212E"/>
    <w:rsid w:val="00302177"/>
    <w:rsid w:val="0030252E"/>
    <w:rsid w:val="00302581"/>
    <w:rsid w:val="003027D5"/>
    <w:rsid w:val="00302E27"/>
    <w:rsid w:val="00303309"/>
    <w:rsid w:val="00303370"/>
    <w:rsid w:val="0030564C"/>
    <w:rsid w:val="00311EF2"/>
    <w:rsid w:val="003133BD"/>
    <w:rsid w:val="0031394D"/>
    <w:rsid w:val="003173F0"/>
    <w:rsid w:val="00321002"/>
    <w:rsid w:val="00321487"/>
    <w:rsid w:val="003234A1"/>
    <w:rsid w:val="0032412B"/>
    <w:rsid w:val="00324B34"/>
    <w:rsid w:val="00327D92"/>
    <w:rsid w:val="00330B2E"/>
    <w:rsid w:val="003314B3"/>
    <w:rsid w:val="003335A9"/>
    <w:rsid w:val="003356D8"/>
    <w:rsid w:val="003369E0"/>
    <w:rsid w:val="003421AF"/>
    <w:rsid w:val="00342ACF"/>
    <w:rsid w:val="0035006F"/>
    <w:rsid w:val="00352FFA"/>
    <w:rsid w:val="003530E6"/>
    <w:rsid w:val="003569B1"/>
    <w:rsid w:val="003637AC"/>
    <w:rsid w:val="00371789"/>
    <w:rsid w:val="00376778"/>
    <w:rsid w:val="003777A2"/>
    <w:rsid w:val="003777AF"/>
    <w:rsid w:val="003816E0"/>
    <w:rsid w:val="0038177F"/>
    <w:rsid w:val="00384890"/>
    <w:rsid w:val="0038671E"/>
    <w:rsid w:val="003904CD"/>
    <w:rsid w:val="003947CE"/>
    <w:rsid w:val="00395D78"/>
    <w:rsid w:val="00396BAD"/>
    <w:rsid w:val="003A1EFD"/>
    <w:rsid w:val="003A2365"/>
    <w:rsid w:val="003A56EB"/>
    <w:rsid w:val="003A622D"/>
    <w:rsid w:val="003A7EC1"/>
    <w:rsid w:val="003B3F4F"/>
    <w:rsid w:val="003B6D7A"/>
    <w:rsid w:val="003B75CB"/>
    <w:rsid w:val="003B7A81"/>
    <w:rsid w:val="003C0ABC"/>
    <w:rsid w:val="003C0CD5"/>
    <w:rsid w:val="003C3184"/>
    <w:rsid w:val="003C4402"/>
    <w:rsid w:val="003C4F11"/>
    <w:rsid w:val="003C5F74"/>
    <w:rsid w:val="003C788D"/>
    <w:rsid w:val="003D07B1"/>
    <w:rsid w:val="003D07B3"/>
    <w:rsid w:val="003D0A63"/>
    <w:rsid w:val="003D5643"/>
    <w:rsid w:val="003D62CC"/>
    <w:rsid w:val="003E3CAA"/>
    <w:rsid w:val="003E481C"/>
    <w:rsid w:val="003E5F2E"/>
    <w:rsid w:val="003F0458"/>
    <w:rsid w:val="003F0762"/>
    <w:rsid w:val="003F0F3C"/>
    <w:rsid w:val="003F258B"/>
    <w:rsid w:val="003F3677"/>
    <w:rsid w:val="003F59FA"/>
    <w:rsid w:val="003F614C"/>
    <w:rsid w:val="003F7230"/>
    <w:rsid w:val="0040307A"/>
    <w:rsid w:val="00403198"/>
    <w:rsid w:val="00404A94"/>
    <w:rsid w:val="0041052B"/>
    <w:rsid w:val="004112C9"/>
    <w:rsid w:val="00412104"/>
    <w:rsid w:val="00413B25"/>
    <w:rsid w:val="00421F2B"/>
    <w:rsid w:val="004227A3"/>
    <w:rsid w:val="00422A4E"/>
    <w:rsid w:val="00422B72"/>
    <w:rsid w:val="00422F8B"/>
    <w:rsid w:val="00423FE4"/>
    <w:rsid w:val="004249B9"/>
    <w:rsid w:val="00424EC8"/>
    <w:rsid w:val="0042643F"/>
    <w:rsid w:val="00436307"/>
    <w:rsid w:val="00436704"/>
    <w:rsid w:val="004369B3"/>
    <w:rsid w:val="00436BE2"/>
    <w:rsid w:val="0044043D"/>
    <w:rsid w:val="0044051B"/>
    <w:rsid w:val="0044218F"/>
    <w:rsid w:val="00442A54"/>
    <w:rsid w:val="004507E1"/>
    <w:rsid w:val="00452BEB"/>
    <w:rsid w:val="00455778"/>
    <w:rsid w:val="0045793A"/>
    <w:rsid w:val="00460492"/>
    <w:rsid w:val="00462428"/>
    <w:rsid w:val="00465A4B"/>
    <w:rsid w:val="00466BEC"/>
    <w:rsid w:val="004721D7"/>
    <w:rsid w:val="00472EB2"/>
    <w:rsid w:val="0047319E"/>
    <w:rsid w:val="004738BB"/>
    <w:rsid w:val="0048318C"/>
    <w:rsid w:val="00484B73"/>
    <w:rsid w:val="004866A2"/>
    <w:rsid w:val="0048746A"/>
    <w:rsid w:val="0049453D"/>
    <w:rsid w:val="0049506E"/>
    <w:rsid w:val="00495B8A"/>
    <w:rsid w:val="004A0704"/>
    <w:rsid w:val="004A0923"/>
    <w:rsid w:val="004A5FF2"/>
    <w:rsid w:val="004A76C7"/>
    <w:rsid w:val="004A78B8"/>
    <w:rsid w:val="004A7BEA"/>
    <w:rsid w:val="004B3CC0"/>
    <w:rsid w:val="004B535C"/>
    <w:rsid w:val="004C052C"/>
    <w:rsid w:val="004C06BE"/>
    <w:rsid w:val="004C3203"/>
    <w:rsid w:val="004C3EA3"/>
    <w:rsid w:val="004C4194"/>
    <w:rsid w:val="004C4C7F"/>
    <w:rsid w:val="004C6176"/>
    <w:rsid w:val="004C659D"/>
    <w:rsid w:val="004C6A4F"/>
    <w:rsid w:val="004D0EF7"/>
    <w:rsid w:val="004D23D2"/>
    <w:rsid w:val="004D502E"/>
    <w:rsid w:val="004D53BD"/>
    <w:rsid w:val="004D73EE"/>
    <w:rsid w:val="004D7982"/>
    <w:rsid w:val="004E06FF"/>
    <w:rsid w:val="004E19C7"/>
    <w:rsid w:val="004E3AFC"/>
    <w:rsid w:val="004F0509"/>
    <w:rsid w:val="004F2C61"/>
    <w:rsid w:val="004F2CC3"/>
    <w:rsid w:val="004F3755"/>
    <w:rsid w:val="004F72F6"/>
    <w:rsid w:val="004F7D34"/>
    <w:rsid w:val="0050280F"/>
    <w:rsid w:val="0050285B"/>
    <w:rsid w:val="005029FE"/>
    <w:rsid w:val="0050518E"/>
    <w:rsid w:val="00505811"/>
    <w:rsid w:val="00507689"/>
    <w:rsid w:val="00510273"/>
    <w:rsid w:val="005112CF"/>
    <w:rsid w:val="00512013"/>
    <w:rsid w:val="005123B3"/>
    <w:rsid w:val="005172BC"/>
    <w:rsid w:val="005226B1"/>
    <w:rsid w:val="0052274D"/>
    <w:rsid w:val="00522BDF"/>
    <w:rsid w:val="00523508"/>
    <w:rsid w:val="005355A9"/>
    <w:rsid w:val="00535AF8"/>
    <w:rsid w:val="00535D2F"/>
    <w:rsid w:val="005371A2"/>
    <w:rsid w:val="00545E94"/>
    <w:rsid w:val="00546D2E"/>
    <w:rsid w:val="0055013B"/>
    <w:rsid w:val="00552243"/>
    <w:rsid w:val="005527E3"/>
    <w:rsid w:val="005538C7"/>
    <w:rsid w:val="0055598C"/>
    <w:rsid w:val="00556F0F"/>
    <w:rsid w:val="00557F1B"/>
    <w:rsid w:val="00560021"/>
    <w:rsid w:val="00560454"/>
    <w:rsid w:val="00563A9D"/>
    <w:rsid w:val="00563F3A"/>
    <w:rsid w:val="00567FB2"/>
    <w:rsid w:val="0057031E"/>
    <w:rsid w:val="005705DB"/>
    <w:rsid w:val="005712D0"/>
    <w:rsid w:val="00572C38"/>
    <w:rsid w:val="00572C68"/>
    <w:rsid w:val="00573E62"/>
    <w:rsid w:val="005747A0"/>
    <w:rsid w:val="005758A0"/>
    <w:rsid w:val="00576545"/>
    <w:rsid w:val="00576982"/>
    <w:rsid w:val="005837EA"/>
    <w:rsid w:val="00583ED6"/>
    <w:rsid w:val="005841B8"/>
    <w:rsid w:val="005844DB"/>
    <w:rsid w:val="0058657F"/>
    <w:rsid w:val="00590F6F"/>
    <w:rsid w:val="00591BF5"/>
    <w:rsid w:val="005935FF"/>
    <w:rsid w:val="0059472A"/>
    <w:rsid w:val="005A2FBE"/>
    <w:rsid w:val="005A3626"/>
    <w:rsid w:val="005A3CAC"/>
    <w:rsid w:val="005A6343"/>
    <w:rsid w:val="005A6789"/>
    <w:rsid w:val="005A77D9"/>
    <w:rsid w:val="005B7BD0"/>
    <w:rsid w:val="005C0005"/>
    <w:rsid w:val="005C3B47"/>
    <w:rsid w:val="005C4373"/>
    <w:rsid w:val="005C4E69"/>
    <w:rsid w:val="005C611C"/>
    <w:rsid w:val="005C63A8"/>
    <w:rsid w:val="005C7782"/>
    <w:rsid w:val="005C793C"/>
    <w:rsid w:val="005D0623"/>
    <w:rsid w:val="005D1338"/>
    <w:rsid w:val="005D1DBB"/>
    <w:rsid w:val="005D6290"/>
    <w:rsid w:val="005E1E4E"/>
    <w:rsid w:val="005E58B0"/>
    <w:rsid w:val="005E6BAE"/>
    <w:rsid w:val="005E7422"/>
    <w:rsid w:val="005F143B"/>
    <w:rsid w:val="005F2409"/>
    <w:rsid w:val="005F6C18"/>
    <w:rsid w:val="0060142A"/>
    <w:rsid w:val="00604EF3"/>
    <w:rsid w:val="00605FD9"/>
    <w:rsid w:val="00611D4C"/>
    <w:rsid w:val="006121F3"/>
    <w:rsid w:val="00612F3E"/>
    <w:rsid w:val="00613949"/>
    <w:rsid w:val="00623F79"/>
    <w:rsid w:val="00625CD0"/>
    <w:rsid w:val="0062633E"/>
    <w:rsid w:val="00632936"/>
    <w:rsid w:val="00633B38"/>
    <w:rsid w:val="00633B50"/>
    <w:rsid w:val="00633EBD"/>
    <w:rsid w:val="006358A6"/>
    <w:rsid w:val="00636293"/>
    <w:rsid w:val="00640679"/>
    <w:rsid w:val="006412F3"/>
    <w:rsid w:val="006419B6"/>
    <w:rsid w:val="00642B76"/>
    <w:rsid w:val="006433F5"/>
    <w:rsid w:val="006455F7"/>
    <w:rsid w:val="0065002A"/>
    <w:rsid w:val="00650ABD"/>
    <w:rsid w:val="00655E17"/>
    <w:rsid w:val="006561DD"/>
    <w:rsid w:val="006563C1"/>
    <w:rsid w:val="006565DB"/>
    <w:rsid w:val="0065752A"/>
    <w:rsid w:val="00661286"/>
    <w:rsid w:val="00661FCE"/>
    <w:rsid w:val="00662EA0"/>
    <w:rsid w:val="00663139"/>
    <w:rsid w:val="00664B7C"/>
    <w:rsid w:val="00666593"/>
    <w:rsid w:val="0067003A"/>
    <w:rsid w:val="00670051"/>
    <w:rsid w:val="00670870"/>
    <w:rsid w:val="006709CB"/>
    <w:rsid w:val="00672AC2"/>
    <w:rsid w:val="00673F0B"/>
    <w:rsid w:val="0067738F"/>
    <w:rsid w:val="00677DE4"/>
    <w:rsid w:val="00677ED4"/>
    <w:rsid w:val="0068021D"/>
    <w:rsid w:val="006813C4"/>
    <w:rsid w:val="0068165C"/>
    <w:rsid w:val="006817EE"/>
    <w:rsid w:val="00681BA8"/>
    <w:rsid w:val="00682DA2"/>
    <w:rsid w:val="00687616"/>
    <w:rsid w:val="00687F36"/>
    <w:rsid w:val="00691850"/>
    <w:rsid w:val="00694671"/>
    <w:rsid w:val="006960F7"/>
    <w:rsid w:val="00696D68"/>
    <w:rsid w:val="0069775F"/>
    <w:rsid w:val="006A43A9"/>
    <w:rsid w:val="006A4702"/>
    <w:rsid w:val="006A5FE5"/>
    <w:rsid w:val="006A7226"/>
    <w:rsid w:val="006A78B9"/>
    <w:rsid w:val="006A7923"/>
    <w:rsid w:val="006B0411"/>
    <w:rsid w:val="006B066A"/>
    <w:rsid w:val="006B0BA8"/>
    <w:rsid w:val="006B1927"/>
    <w:rsid w:val="006B1A89"/>
    <w:rsid w:val="006B1F15"/>
    <w:rsid w:val="006C0FD2"/>
    <w:rsid w:val="006C19A4"/>
    <w:rsid w:val="006C2C1D"/>
    <w:rsid w:val="006C2DCE"/>
    <w:rsid w:val="006C3975"/>
    <w:rsid w:val="006C5017"/>
    <w:rsid w:val="006C75FB"/>
    <w:rsid w:val="006D25CB"/>
    <w:rsid w:val="006D5935"/>
    <w:rsid w:val="006D6AF0"/>
    <w:rsid w:val="006D6E1A"/>
    <w:rsid w:val="006D7361"/>
    <w:rsid w:val="006D736B"/>
    <w:rsid w:val="006E11AF"/>
    <w:rsid w:val="006E4039"/>
    <w:rsid w:val="006E4175"/>
    <w:rsid w:val="006E58E2"/>
    <w:rsid w:val="006E5D66"/>
    <w:rsid w:val="006E7C23"/>
    <w:rsid w:val="006F1A3D"/>
    <w:rsid w:val="006F298C"/>
    <w:rsid w:val="006F38E9"/>
    <w:rsid w:val="006F3BCA"/>
    <w:rsid w:val="006F3D3F"/>
    <w:rsid w:val="006F3F51"/>
    <w:rsid w:val="006F5F6D"/>
    <w:rsid w:val="006F6A43"/>
    <w:rsid w:val="007011F3"/>
    <w:rsid w:val="007012FF"/>
    <w:rsid w:val="00702F59"/>
    <w:rsid w:val="007036D3"/>
    <w:rsid w:val="00704377"/>
    <w:rsid w:val="00705B77"/>
    <w:rsid w:val="00705CE0"/>
    <w:rsid w:val="00706003"/>
    <w:rsid w:val="00707948"/>
    <w:rsid w:val="00711741"/>
    <w:rsid w:val="00711D4B"/>
    <w:rsid w:val="00712F9C"/>
    <w:rsid w:val="00726092"/>
    <w:rsid w:val="00726F18"/>
    <w:rsid w:val="00727A70"/>
    <w:rsid w:val="00731136"/>
    <w:rsid w:val="0073116B"/>
    <w:rsid w:val="00732D28"/>
    <w:rsid w:val="0073612D"/>
    <w:rsid w:val="00737DDE"/>
    <w:rsid w:val="00742D2B"/>
    <w:rsid w:val="00743F2A"/>
    <w:rsid w:val="00744C0B"/>
    <w:rsid w:val="00745510"/>
    <w:rsid w:val="00747B8A"/>
    <w:rsid w:val="00747EAD"/>
    <w:rsid w:val="00750763"/>
    <w:rsid w:val="00751A8E"/>
    <w:rsid w:val="00753069"/>
    <w:rsid w:val="0075357F"/>
    <w:rsid w:val="007559B8"/>
    <w:rsid w:val="00755C5E"/>
    <w:rsid w:val="00763B1F"/>
    <w:rsid w:val="007647DD"/>
    <w:rsid w:val="00764BB2"/>
    <w:rsid w:val="0077168F"/>
    <w:rsid w:val="00771931"/>
    <w:rsid w:val="0077207D"/>
    <w:rsid w:val="00772C13"/>
    <w:rsid w:val="007733DB"/>
    <w:rsid w:val="0077395D"/>
    <w:rsid w:val="00775ACE"/>
    <w:rsid w:val="00784997"/>
    <w:rsid w:val="007852BE"/>
    <w:rsid w:val="00785308"/>
    <w:rsid w:val="007902E7"/>
    <w:rsid w:val="00790E51"/>
    <w:rsid w:val="007938EE"/>
    <w:rsid w:val="007964AB"/>
    <w:rsid w:val="00797722"/>
    <w:rsid w:val="007A3F89"/>
    <w:rsid w:val="007A5A09"/>
    <w:rsid w:val="007A7F2C"/>
    <w:rsid w:val="007B1F13"/>
    <w:rsid w:val="007B3F5A"/>
    <w:rsid w:val="007B4779"/>
    <w:rsid w:val="007C10BD"/>
    <w:rsid w:val="007C22DC"/>
    <w:rsid w:val="007C38D0"/>
    <w:rsid w:val="007D6615"/>
    <w:rsid w:val="007D7124"/>
    <w:rsid w:val="007E08C8"/>
    <w:rsid w:val="007E0BD3"/>
    <w:rsid w:val="007E1A14"/>
    <w:rsid w:val="007E2CB7"/>
    <w:rsid w:val="007E3241"/>
    <w:rsid w:val="007E6A15"/>
    <w:rsid w:val="007F253F"/>
    <w:rsid w:val="007F4599"/>
    <w:rsid w:val="007F4C3C"/>
    <w:rsid w:val="00801A65"/>
    <w:rsid w:val="0080252B"/>
    <w:rsid w:val="008028A9"/>
    <w:rsid w:val="008109D3"/>
    <w:rsid w:val="00810C07"/>
    <w:rsid w:val="008118B4"/>
    <w:rsid w:val="00811F09"/>
    <w:rsid w:val="008139C5"/>
    <w:rsid w:val="00813BCB"/>
    <w:rsid w:val="00815E1F"/>
    <w:rsid w:val="00822983"/>
    <w:rsid w:val="00822C70"/>
    <w:rsid w:val="00824872"/>
    <w:rsid w:val="0083069B"/>
    <w:rsid w:val="00831B76"/>
    <w:rsid w:val="00831F4A"/>
    <w:rsid w:val="00834272"/>
    <w:rsid w:val="008400AC"/>
    <w:rsid w:val="008405F5"/>
    <w:rsid w:val="00841C15"/>
    <w:rsid w:val="00844B1D"/>
    <w:rsid w:val="008468A5"/>
    <w:rsid w:val="00850B6E"/>
    <w:rsid w:val="00856302"/>
    <w:rsid w:val="00860D63"/>
    <w:rsid w:val="008629C9"/>
    <w:rsid w:val="00862A9C"/>
    <w:rsid w:val="00864F0E"/>
    <w:rsid w:val="00865E6D"/>
    <w:rsid w:val="00867B55"/>
    <w:rsid w:val="00867E2F"/>
    <w:rsid w:val="00870E32"/>
    <w:rsid w:val="0087138C"/>
    <w:rsid w:val="00874260"/>
    <w:rsid w:val="0087668A"/>
    <w:rsid w:val="0087690B"/>
    <w:rsid w:val="00880338"/>
    <w:rsid w:val="008813E4"/>
    <w:rsid w:val="00882E5C"/>
    <w:rsid w:val="008843BA"/>
    <w:rsid w:val="0089123E"/>
    <w:rsid w:val="008918F8"/>
    <w:rsid w:val="0089444C"/>
    <w:rsid w:val="0089489A"/>
    <w:rsid w:val="008A0C11"/>
    <w:rsid w:val="008A5A59"/>
    <w:rsid w:val="008B058C"/>
    <w:rsid w:val="008B0ECF"/>
    <w:rsid w:val="008B1438"/>
    <w:rsid w:val="008B1AEC"/>
    <w:rsid w:val="008B457E"/>
    <w:rsid w:val="008B6F32"/>
    <w:rsid w:val="008B7BC0"/>
    <w:rsid w:val="008C02CD"/>
    <w:rsid w:val="008C25F3"/>
    <w:rsid w:val="008C3198"/>
    <w:rsid w:val="008C5200"/>
    <w:rsid w:val="008C6576"/>
    <w:rsid w:val="008C6B68"/>
    <w:rsid w:val="008C6CC7"/>
    <w:rsid w:val="008D41FB"/>
    <w:rsid w:val="008D5807"/>
    <w:rsid w:val="008D5AC9"/>
    <w:rsid w:val="008D5DA5"/>
    <w:rsid w:val="008D6B8D"/>
    <w:rsid w:val="008D7F98"/>
    <w:rsid w:val="008E12CC"/>
    <w:rsid w:val="008E1351"/>
    <w:rsid w:val="008E3538"/>
    <w:rsid w:val="008E4B78"/>
    <w:rsid w:val="008F1583"/>
    <w:rsid w:val="008F1C2D"/>
    <w:rsid w:val="008F774C"/>
    <w:rsid w:val="008F794C"/>
    <w:rsid w:val="0090133B"/>
    <w:rsid w:val="00902C57"/>
    <w:rsid w:val="00904970"/>
    <w:rsid w:val="00906100"/>
    <w:rsid w:val="00907915"/>
    <w:rsid w:val="009109B8"/>
    <w:rsid w:val="00911052"/>
    <w:rsid w:val="00913239"/>
    <w:rsid w:val="00914D9F"/>
    <w:rsid w:val="0092088F"/>
    <w:rsid w:val="0092217A"/>
    <w:rsid w:val="009241C1"/>
    <w:rsid w:val="00924B63"/>
    <w:rsid w:val="00924EA4"/>
    <w:rsid w:val="0093112B"/>
    <w:rsid w:val="00932F26"/>
    <w:rsid w:val="0093459F"/>
    <w:rsid w:val="009371BD"/>
    <w:rsid w:val="00937F75"/>
    <w:rsid w:val="00942227"/>
    <w:rsid w:val="0094389E"/>
    <w:rsid w:val="0094422A"/>
    <w:rsid w:val="00946307"/>
    <w:rsid w:val="00946E38"/>
    <w:rsid w:val="00950C27"/>
    <w:rsid w:val="0095115E"/>
    <w:rsid w:val="00951C87"/>
    <w:rsid w:val="00955550"/>
    <w:rsid w:val="00955731"/>
    <w:rsid w:val="00955820"/>
    <w:rsid w:val="0096013F"/>
    <w:rsid w:val="00964B2A"/>
    <w:rsid w:val="0096530B"/>
    <w:rsid w:val="009665F5"/>
    <w:rsid w:val="009678A2"/>
    <w:rsid w:val="00973C7E"/>
    <w:rsid w:val="00974792"/>
    <w:rsid w:val="00974BDF"/>
    <w:rsid w:val="00977C22"/>
    <w:rsid w:val="00977EE8"/>
    <w:rsid w:val="009810BF"/>
    <w:rsid w:val="009812DC"/>
    <w:rsid w:val="00981C5C"/>
    <w:rsid w:val="00983463"/>
    <w:rsid w:val="00983DEB"/>
    <w:rsid w:val="009860B2"/>
    <w:rsid w:val="009936B2"/>
    <w:rsid w:val="009965BA"/>
    <w:rsid w:val="009A1212"/>
    <w:rsid w:val="009A13BB"/>
    <w:rsid w:val="009A4A0A"/>
    <w:rsid w:val="009A5E34"/>
    <w:rsid w:val="009A7C47"/>
    <w:rsid w:val="009B318D"/>
    <w:rsid w:val="009B41CE"/>
    <w:rsid w:val="009B53E0"/>
    <w:rsid w:val="009C11A1"/>
    <w:rsid w:val="009C50F5"/>
    <w:rsid w:val="009C78CC"/>
    <w:rsid w:val="009D069C"/>
    <w:rsid w:val="009D159C"/>
    <w:rsid w:val="009D4594"/>
    <w:rsid w:val="009D5E90"/>
    <w:rsid w:val="009D7BA2"/>
    <w:rsid w:val="009E6106"/>
    <w:rsid w:val="009F0B66"/>
    <w:rsid w:val="009F4D0E"/>
    <w:rsid w:val="009F4E74"/>
    <w:rsid w:val="009F4F1C"/>
    <w:rsid w:val="009F5961"/>
    <w:rsid w:val="009F64D6"/>
    <w:rsid w:val="00A0126A"/>
    <w:rsid w:val="00A02A76"/>
    <w:rsid w:val="00A10D1D"/>
    <w:rsid w:val="00A1161A"/>
    <w:rsid w:val="00A1240A"/>
    <w:rsid w:val="00A1780F"/>
    <w:rsid w:val="00A20360"/>
    <w:rsid w:val="00A20B45"/>
    <w:rsid w:val="00A20BD8"/>
    <w:rsid w:val="00A21850"/>
    <w:rsid w:val="00A22541"/>
    <w:rsid w:val="00A227FA"/>
    <w:rsid w:val="00A233EE"/>
    <w:rsid w:val="00A24541"/>
    <w:rsid w:val="00A24F02"/>
    <w:rsid w:val="00A25921"/>
    <w:rsid w:val="00A26CA0"/>
    <w:rsid w:val="00A3383C"/>
    <w:rsid w:val="00A42AFE"/>
    <w:rsid w:val="00A4643D"/>
    <w:rsid w:val="00A50D78"/>
    <w:rsid w:val="00A529C6"/>
    <w:rsid w:val="00A52AA7"/>
    <w:rsid w:val="00A605B1"/>
    <w:rsid w:val="00A6091D"/>
    <w:rsid w:val="00A61660"/>
    <w:rsid w:val="00A61668"/>
    <w:rsid w:val="00A6239C"/>
    <w:rsid w:val="00A637E4"/>
    <w:rsid w:val="00A71D3E"/>
    <w:rsid w:val="00A72974"/>
    <w:rsid w:val="00A732F3"/>
    <w:rsid w:val="00A73529"/>
    <w:rsid w:val="00A74C5A"/>
    <w:rsid w:val="00A74E08"/>
    <w:rsid w:val="00A75401"/>
    <w:rsid w:val="00A75642"/>
    <w:rsid w:val="00A77A6B"/>
    <w:rsid w:val="00A77D3C"/>
    <w:rsid w:val="00A83B89"/>
    <w:rsid w:val="00A8619B"/>
    <w:rsid w:val="00A86DDF"/>
    <w:rsid w:val="00A87B43"/>
    <w:rsid w:val="00A90620"/>
    <w:rsid w:val="00A90960"/>
    <w:rsid w:val="00A9150C"/>
    <w:rsid w:val="00A91C7E"/>
    <w:rsid w:val="00A91D43"/>
    <w:rsid w:val="00A97DC4"/>
    <w:rsid w:val="00AA0A8A"/>
    <w:rsid w:val="00AA0CD9"/>
    <w:rsid w:val="00AA1A26"/>
    <w:rsid w:val="00AA280F"/>
    <w:rsid w:val="00AA3D06"/>
    <w:rsid w:val="00AA4EC2"/>
    <w:rsid w:val="00AA6142"/>
    <w:rsid w:val="00AB0128"/>
    <w:rsid w:val="00AB3281"/>
    <w:rsid w:val="00AB374A"/>
    <w:rsid w:val="00AB6E3E"/>
    <w:rsid w:val="00AC0A18"/>
    <w:rsid w:val="00AC398F"/>
    <w:rsid w:val="00AC6092"/>
    <w:rsid w:val="00AC77DA"/>
    <w:rsid w:val="00AD144B"/>
    <w:rsid w:val="00AD4CB5"/>
    <w:rsid w:val="00AD681E"/>
    <w:rsid w:val="00AD6E91"/>
    <w:rsid w:val="00AD7011"/>
    <w:rsid w:val="00AD7281"/>
    <w:rsid w:val="00AD76ED"/>
    <w:rsid w:val="00AD7B05"/>
    <w:rsid w:val="00AE47D1"/>
    <w:rsid w:val="00AE72D7"/>
    <w:rsid w:val="00AF14CF"/>
    <w:rsid w:val="00AF2703"/>
    <w:rsid w:val="00AF3A31"/>
    <w:rsid w:val="00AF6138"/>
    <w:rsid w:val="00B005AD"/>
    <w:rsid w:val="00B02B4F"/>
    <w:rsid w:val="00B03965"/>
    <w:rsid w:val="00B04D25"/>
    <w:rsid w:val="00B04E30"/>
    <w:rsid w:val="00B068C7"/>
    <w:rsid w:val="00B10114"/>
    <w:rsid w:val="00B168A2"/>
    <w:rsid w:val="00B201A9"/>
    <w:rsid w:val="00B20636"/>
    <w:rsid w:val="00B21CCE"/>
    <w:rsid w:val="00B24376"/>
    <w:rsid w:val="00B2628F"/>
    <w:rsid w:val="00B27A93"/>
    <w:rsid w:val="00B3337C"/>
    <w:rsid w:val="00B33B0C"/>
    <w:rsid w:val="00B4089B"/>
    <w:rsid w:val="00B41AEE"/>
    <w:rsid w:val="00B44E55"/>
    <w:rsid w:val="00B4642D"/>
    <w:rsid w:val="00B51430"/>
    <w:rsid w:val="00B52455"/>
    <w:rsid w:val="00B52ECB"/>
    <w:rsid w:val="00B53135"/>
    <w:rsid w:val="00B61938"/>
    <w:rsid w:val="00B65933"/>
    <w:rsid w:val="00B66F98"/>
    <w:rsid w:val="00B700B9"/>
    <w:rsid w:val="00B70CE2"/>
    <w:rsid w:val="00B72F2E"/>
    <w:rsid w:val="00B732E6"/>
    <w:rsid w:val="00B7486B"/>
    <w:rsid w:val="00B74B87"/>
    <w:rsid w:val="00B77D0E"/>
    <w:rsid w:val="00B77E4E"/>
    <w:rsid w:val="00B81014"/>
    <w:rsid w:val="00B83C5F"/>
    <w:rsid w:val="00B83FF7"/>
    <w:rsid w:val="00B85933"/>
    <w:rsid w:val="00B85A01"/>
    <w:rsid w:val="00B85E0A"/>
    <w:rsid w:val="00B86853"/>
    <w:rsid w:val="00B87A17"/>
    <w:rsid w:val="00B94DCA"/>
    <w:rsid w:val="00B97B11"/>
    <w:rsid w:val="00BA0B43"/>
    <w:rsid w:val="00BA0BC3"/>
    <w:rsid w:val="00BA0EF2"/>
    <w:rsid w:val="00BA427F"/>
    <w:rsid w:val="00BA4295"/>
    <w:rsid w:val="00BA5DEB"/>
    <w:rsid w:val="00BB08EA"/>
    <w:rsid w:val="00BB2D47"/>
    <w:rsid w:val="00BB3667"/>
    <w:rsid w:val="00BB3DAB"/>
    <w:rsid w:val="00BB4F10"/>
    <w:rsid w:val="00BB6A55"/>
    <w:rsid w:val="00BC2918"/>
    <w:rsid w:val="00BC2E66"/>
    <w:rsid w:val="00BC2F63"/>
    <w:rsid w:val="00BC4067"/>
    <w:rsid w:val="00BC6A52"/>
    <w:rsid w:val="00BC6A7D"/>
    <w:rsid w:val="00BD1FCA"/>
    <w:rsid w:val="00BD32D7"/>
    <w:rsid w:val="00BD5D16"/>
    <w:rsid w:val="00BD5EDF"/>
    <w:rsid w:val="00BE0C40"/>
    <w:rsid w:val="00BE7660"/>
    <w:rsid w:val="00BF11E0"/>
    <w:rsid w:val="00C007E4"/>
    <w:rsid w:val="00C03852"/>
    <w:rsid w:val="00C05EE2"/>
    <w:rsid w:val="00C06328"/>
    <w:rsid w:val="00C101BA"/>
    <w:rsid w:val="00C1360D"/>
    <w:rsid w:val="00C1759D"/>
    <w:rsid w:val="00C17852"/>
    <w:rsid w:val="00C1799D"/>
    <w:rsid w:val="00C20A13"/>
    <w:rsid w:val="00C235B7"/>
    <w:rsid w:val="00C24327"/>
    <w:rsid w:val="00C25E70"/>
    <w:rsid w:val="00C2702C"/>
    <w:rsid w:val="00C27654"/>
    <w:rsid w:val="00C279EB"/>
    <w:rsid w:val="00C27B59"/>
    <w:rsid w:val="00C318D7"/>
    <w:rsid w:val="00C32B2A"/>
    <w:rsid w:val="00C32F3E"/>
    <w:rsid w:val="00C33378"/>
    <w:rsid w:val="00C366D6"/>
    <w:rsid w:val="00C444A3"/>
    <w:rsid w:val="00C450F7"/>
    <w:rsid w:val="00C45E0D"/>
    <w:rsid w:val="00C4626D"/>
    <w:rsid w:val="00C4747D"/>
    <w:rsid w:val="00C54C44"/>
    <w:rsid w:val="00C54FC7"/>
    <w:rsid w:val="00C5613F"/>
    <w:rsid w:val="00C56E63"/>
    <w:rsid w:val="00C6414F"/>
    <w:rsid w:val="00C64811"/>
    <w:rsid w:val="00C64F62"/>
    <w:rsid w:val="00C665D2"/>
    <w:rsid w:val="00C6672C"/>
    <w:rsid w:val="00C71A0F"/>
    <w:rsid w:val="00C725B8"/>
    <w:rsid w:val="00C73D13"/>
    <w:rsid w:val="00C7650B"/>
    <w:rsid w:val="00C76D7F"/>
    <w:rsid w:val="00C8029C"/>
    <w:rsid w:val="00C81159"/>
    <w:rsid w:val="00C8187B"/>
    <w:rsid w:val="00C83BF4"/>
    <w:rsid w:val="00C84EF6"/>
    <w:rsid w:val="00C925F6"/>
    <w:rsid w:val="00C9281E"/>
    <w:rsid w:val="00CA0656"/>
    <w:rsid w:val="00CA0795"/>
    <w:rsid w:val="00CA27C1"/>
    <w:rsid w:val="00CA476D"/>
    <w:rsid w:val="00CA6CAE"/>
    <w:rsid w:val="00CB0A0E"/>
    <w:rsid w:val="00CB3650"/>
    <w:rsid w:val="00CB3B40"/>
    <w:rsid w:val="00CB4D3E"/>
    <w:rsid w:val="00CB6207"/>
    <w:rsid w:val="00CB6EE9"/>
    <w:rsid w:val="00CC05D1"/>
    <w:rsid w:val="00CC0BE1"/>
    <w:rsid w:val="00CC117F"/>
    <w:rsid w:val="00CC1D00"/>
    <w:rsid w:val="00CC2E91"/>
    <w:rsid w:val="00CC3897"/>
    <w:rsid w:val="00CC54E7"/>
    <w:rsid w:val="00CD002E"/>
    <w:rsid w:val="00CD067D"/>
    <w:rsid w:val="00CD139A"/>
    <w:rsid w:val="00CD2E88"/>
    <w:rsid w:val="00CD6A4B"/>
    <w:rsid w:val="00CD79C4"/>
    <w:rsid w:val="00CE055E"/>
    <w:rsid w:val="00CE1D94"/>
    <w:rsid w:val="00CE2F2F"/>
    <w:rsid w:val="00CE3E1B"/>
    <w:rsid w:val="00CE469B"/>
    <w:rsid w:val="00CE7109"/>
    <w:rsid w:val="00CF2511"/>
    <w:rsid w:val="00CF7D7B"/>
    <w:rsid w:val="00D0262F"/>
    <w:rsid w:val="00D03EEE"/>
    <w:rsid w:val="00D04E23"/>
    <w:rsid w:val="00D0665D"/>
    <w:rsid w:val="00D07284"/>
    <w:rsid w:val="00D1077C"/>
    <w:rsid w:val="00D10A2A"/>
    <w:rsid w:val="00D11743"/>
    <w:rsid w:val="00D117AA"/>
    <w:rsid w:val="00D13B64"/>
    <w:rsid w:val="00D176AE"/>
    <w:rsid w:val="00D17EB3"/>
    <w:rsid w:val="00D17FB5"/>
    <w:rsid w:val="00D21B63"/>
    <w:rsid w:val="00D222EB"/>
    <w:rsid w:val="00D23624"/>
    <w:rsid w:val="00D2572E"/>
    <w:rsid w:val="00D27848"/>
    <w:rsid w:val="00D27EEE"/>
    <w:rsid w:val="00D33EDD"/>
    <w:rsid w:val="00D350FE"/>
    <w:rsid w:val="00D352D1"/>
    <w:rsid w:val="00D35F13"/>
    <w:rsid w:val="00D366C1"/>
    <w:rsid w:val="00D3730D"/>
    <w:rsid w:val="00D40C41"/>
    <w:rsid w:val="00D427FE"/>
    <w:rsid w:val="00D44D68"/>
    <w:rsid w:val="00D46FBB"/>
    <w:rsid w:val="00D501F1"/>
    <w:rsid w:val="00D50547"/>
    <w:rsid w:val="00D51088"/>
    <w:rsid w:val="00D51BE5"/>
    <w:rsid w:val="00D538BF"/>
    <w:rsid w:val="00D54F80"/>
    <w:rsid w:val="00D55830"/>
    <w:rsid w:val="00D57B89"/>
    <w:rsid w:val="00D62E22"/>
    <w:rsid w:val="00D66799"/>
    <w:rsid w:val="00D705AA"/>
    <w:rsid w:val="00D70AD0"/>
    <w:rsid w:val="00D71290"/>
    <w:rsid w:val="00D717D0"/>
    <w:rsid w:val="00D71965"/>
    <w:rsid w:val="00D735A2"/>
    <w:rsid w:val="00D73AA9"/>
    <w:rsid w:val="00D73B88"/>
    <w:rsid w:val="00D73BD6"/>
    <w:rsid w:val="00D7610E"/>
    <w:rsid w:val="00D76DD0"/>
    <w:rsid w:val="00D775C3"/>
    <w:rsid w:val="00D81B29"/>
    <w:rsid w:val="00D82B00"/>
    <w:rsid w:val="00D84192"/>
    <w:rsid w:val="00D8515A"/>
    <w:rsid w:val="00D86529"/>
    <w:rsid w:val="00D929BA"/>
    <w:rsid w:val="00D96F12"/>
    <w:rsid w:val="00DA0444"/>
    <w:rsid w:val="00DA1318"/>
    <w:rsid w:val="00DA2013"/>
    <w:rsid w:val="00DA3037"/>
    <w:rsid w:val="00DA4596"/>
    <w:rsid w:val="00DA4FCE"/>
    <w:rsid w:val="00DA5F96"/>
    <w:rsid w:val="00DA7C54"/>
    <w:rsid w:val="00DB1F11"/>
    <w:rsid w:val="00DB2D57"/>
    <w:rsid w:val="00DB5E3D"/>
    <w:rsid w:val="00DB640D"/>
    <w:rsid w:val="00DC0262"/>
    <w:rsid w:val="00DC0EBC"/>
    <w:rsid w:val="00DC15EA"/>
    <w:rsid w:val="00DC795E"/>
    <w:rsid w:val="00DC7B8C"/>
    <w:rsid w:val="00DC7E51"/>
    <w:rsid w:val="00DD1EC8"/>
    <w:rsid w:val="00DD2A8A"/>
    <w:rsid w:val="00DD3FB0"/>
    <w:rsid w:val="00DE0AAF"/>
    <w:rsid w:val="00DE12E6"/>
    <w:rsid w:val="00DE19CB"/>
    <w:rsid w:val="00DE1A0E"/>
    <w:rsid w:val="00DE1AD3"/>
    <w:rsid w:val="00DE311E"/>
    <w:rsid w:val="00DE6D73"/>
    <w:rsid w:val="00DE7472"/>
    <w:rsid w:val="00DF1319"/>
    <w:rsid w:val="00DF18BB"/>
    <w:rsid w:val="00DF5E05"/>
    <w:rsid w:val="00E0212A"/>
    <w:rsid w:val="00E037FE"/>
    <w:rsid w:val="00E03B17"/>
    <w:rsid w:val="00E05ACB"/>
    <w:rsid w:val="00E070C8"/>
    <w:rsid w:val="00E107B8"/>
    <w:rsid w:val="00E10E1F"/>
    <w:rsid w:val="00E11D56"/>
    <w:rsid w:val="00E12870"/>
    <w:rsid w:val="00E12EB7"/>
    <w:rsid w:val="00E134B7"/>
    <w:rsid w:val="00E13A7B"/>
    <w:rsid w:val="00E144CB"/>
    <w:rsid w:val="00E15B21"/>
    <w:rsid w:val="00E16A9F"/>
    <w:rsid w:val="00E17117"/>
    <w:rsid w:val="00E20557"/>
    <w:rsid w:val="00E220AC"/>
    <w:rsid w:val="00E227F2"/>
    <w:rsid w:val="00E24461"/>
    <w:rsid w:val="00E24C69"/>
    <w:rsid w:val="00E2516F"/>
    <w:rsid w:val="00E26FD8"/>
    <w:rsid w:val="00E32E0F"/>
    <w:rsid w:val="00E3350B"/>
    <w:rsid w:val="00E33C71"/>
    <w:rsid w:val="00E34894"/>
    <w:rsid w:val="00E35EE9"/>
    <w:rsid w:val="00E40CCC"/>
    <w:rsid w:val="00E415F1"/>
    <w:rsid w:val="00E44C66"/>
    <w:rsid w:val="00E45D80"/>
    <w:rsid w:val="00E47961"/>
    <w:rsid w:val="00E50223"/>
    <w:rsid w:val="00E50570"/>
    <w:rsid w:val="00E521B0"/>
    <w:rsid w:val="00E53198"/>
    <w:rsid w:val="00E57A07"/>
    <w:rsid w:val="00E65156"/>
    <w:rsid w:val="00E65F67"/>
    <w:rsid w:val="00E66A65"/>
    <w:rsid w:val="00E66B2F"/>
    <w:rsid w:val="00E66ED3"/>
    <w:rsid w:val="00E701CE"/>
    <w:rsid w:val="00E71EE6"/>
    <w:rsid w:val="00E737B4"/>
    <w:rsid w:val="00E74182"/>
    <w:rsid w:val="00E744AC"/>
    <w:rsid w:val="00E74637"/>
    <w:rsid w:val="00E75F20"/>
    <w:rsid w:val="00E77132"/>
    <w:rsid w:val="00E77847"/>
    <w:rsid w:val="00E8048E"/>
    <w:rsid w:val="00E812FF"/>
    <w:rsid w:val="00E825C7"/>
    <w:rsid w:val="00E8572D"/>
    <w:rsid w:val="00E86B3F"/>
    <w:rsid w:val="00E86B7F"/>
    <w:rsid w:val="00E92F28"/>
    <w:rsid w:val="00E93B3E"/>
    <w:rsid w:val="00E945BA"/>
    <w:rsid w:val="00E94847"/>
    <w:rsid w:val="00E94FC2"/>
    <w:rsid w:val="00E9614B"/>
    <w:rsid w:val="00EA10D0"/>
    <w:rsid w:val="00EA211E"/>
    <w:rsid w:val="00EA3999"/>
    <w:rsid w:val="00EA6BC6"/>
    <w:rsid w:val="00EB1879"/>
    <w:rsid w:val="00EB2818"/>
    <w:rsid w:val="00EB343C"/>
    <w:rsid w:val="00EC0668"/>
    <w:rsid w:val="00EC0A12"/>
    <w:rsid w:val="00EC2A76"/>
    <w:rsid w:val="00EC3461"/>
    <w:rsid w:val="00EC3DE8"/>
    <w:rsid w:val="00EC4221"/>
    <w:rsid w:val="00EC4E1E"/>
    <w:rsid w:val="00EC5068"/>
    <w:rsid w:val="00EC54A5"/>
    <w:rsid w:val="00EC6552"/>
    <w:rsid w:val="00EC70FB"/>
    <w:rsid w:val="00ED2543"/>
    <w:rsid w:val="00ED6EE6"/>
    <w:rsid w:val="00ED7FAF"/>
    <w:rsid w:val="00EE0986"/>
    <w:rsid w:val="00EE7AD3"/>
    <w:rsid w:val="00EF06BF"/>
    <w:rsid w:val="00EF413F"/>
    <w:rsid w:val="00EF6026"/>
    <w:rsid w:val="00F01ADB"/>
    <w:rsid w:val="00F01DDA"/>
    <w:rsid w:val="00F022A7"/>
    <w:rsid w:val="00F04A12"/>
    <w:rsid w:val="00F05BB0"/>
    <w:rsid w:val="00F05D76"/>
    <w:rsid w:val="00F074BD"/>
    <w:rsid w:val="00F114EE"/>
    <w:rsid w:val="00F118D6"/>
    <w:rsid w:val="00F121E8"/>
    <w:rsid w:val="00F16B9D"/>
    <w:rsid w:val="00F16D4A"/>
    <w:rsid w:val="00F21089"/>
    <w:rsid w:val="00F23830"/>
    <w:rsid w:val="00F273C1"/>
    <w:rsid w:val="00F3348D"/>
    <w:rsid w:val="00F35184"/>
    <w:rsid w:val="00F356A9"/>
    <w:rsid w:val="00F36295"/>
    <w:rsid w:val="00F4098A"/>
    <w:rsid w:val="00F40E40"/>
    <w:rsid w:val="00F42193"/>
    <w:rsid w:val="00F43A8A"/>
    <w:rsid w:val="00F449AE"/>
    <w:rsid w:val="00F46F18"/>
    <w:rsid w:val="00F50451"/>
    <w:rsid w:val="00F5078E"/>
    <w:rsid w:val="00F52110"/>
    <w:rsid w:val="00F52265"/>
    <w:rsid w:val="00F6299D"/>
    <w:rsid w:val="00F642B2"/>
    <w:rsid w:val="00F66388"/>
    <w:rsid w:val="00F719BF"/>
    <w:rsid w:val="00F74AB8"/>
    <w:rsid w:val="00F76804"/>
    <w:rsid w:val="00F76D4B"/>
    <w:rsid w:val="00F76F50"/>
    <w:rsid w:val="00F77009"/>
    <w:rsid w:val="00F77368"/>
    <w:rsid w:val="00F804AE"/>
    <w:rsid w:val="00F80631"/>
    <w:rsid w:val="00F808F8"/>
    <w:rsid w:val="00F82ECD"/>
    <w:rsid w:val="00F83BA2"/>
    <w:rsid w:val="00F84CC8"/>
    <w:rsid w:val="00F9154C"/>
    <w:rsid w:val="00F919DC"/>
    <w:rsid w:val="00F92B43"/>
    <w:rsid w:val="00F93077"/>
    <w:rsid w:val="00F9380A"/>
    <w:rsid w:val="00F93B4B"/>
    <w:rsid w:val="00F96029"/>
    <w:rsid w:val="00FA4273"/>
    <w:rsid w:val="00FB2095"/>
    <w:rsid w:val="00FB596F"/>
    <w:rsid w:val="00FB5F39"/>
    <w:rsid w:val="00FC0053"/>
    <w:rsid w:val="00FC134B"/>
    <w:rsid w:val="00FC2C41"/>
    <w:rsid w:val="00FC74BD"/>
    <w:rsid w:val="00FD40FA"/>
    <w:rsid w:val="00FD5159"/>
    <w:rsid w:val="00FD77F0"/>
    <w:rsid w:val="00FE0795"/>
    <w:rsid w:val="00FE4874"/>
    <w:rsid w:val="00FF029D"/>
    <w:rsid w:val="00FF0774"/>
    <w:rsid w:val="00FF328E"/>
    <w:rsid w:val="00FF4662"/>
    <w:rsid w:val="00FF5966"/>
    <w:rsid w:val="00FF5F38"/>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5FB1115"/>
  <w15:docId w15:val="{6737BF83-A46A-4863-A2AA-AEEC3FD3B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D0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6A67"/>
    <w:pPr>
      <w:spacing w:line="480" w:lineRule="auto"/>
      <w:ind w:firstLine="720"/>
    </w:pPr>
  </w:style>
  <w:style w:type="paragraph" w:styleId="Header">
    <w:name w:val="header"/>
    <w:basedOn w:val="Normal"/>
    <w:rsid w:val="00D56A67"/>
    <w:pPr>
      <w:tabs>
        <w:tab w:val="center" w:pos="4320"/>
        <w:tab w:val="right" w:pos="8640"/>
      </w:tabs>
    </w:pPr>
  </w:style>
  <w:style w:type="paragraph" w:styleId="Footer">
    <w:name w:val="footer"/>
    <w:basedOn w:val="Normal"/>
    <w:rsid w:val="00D56A67"/>
    <w:pPr>
      <w:tabs>
        <w:tab w:val="center" w:pos="4320"/>
        <w:tab w:val="right" w:pos="8640"/>
      </w:tabs>
    </w:pPr>
  </w:style>
  <w:style w:type="character" w:styleId="Hyperlink">
    <w:name w:val="Hyperlink"/>
    <w:rsid w:val="0060332C"/>
    <w:rPr>
      <w:color w:val="0000FF"/>
      <w:u w:val="single"/>
    </w:rPr>
  </w:style>
  <w:style w:type="character" w:styleId="CommentReference">
    <w:name w:val="annotation reference"/>
    <w:rsid w:val="004F2C61"/>
    <w:rPr>
      <w:sz w:val="16"/>
      <w:szCs w:val="16"/>
    </w:rPr>
  </w:style>
  <w:style w:type="paragraph" w:styleId="CommentText">
    <w:name w:val="annotation text"/>
    <w:basedOn w:val="Normal"/>
    <w:link w:val="CommentTextChar"/>
    <w:rsid w:val="004F2C61"/>
    <w:rPr>
      <w:sz w:val="20"/>
      <w:szCs w:val="20"/>
    </w:rPr>
  </w:style>
  <w:style w:type="character" w:customStyle="1" w:styleId="CommentTextChar">
    <w:name w:val="Comment Text Char"/>
    <w:basedOn w:val="DefaultParagraphFont"/>
    <w:link w:val="CommentText"/>
    <w:rsid w:val="004F2C61"/>
  </w:style>
  <w:style w:type="paragraph" w:styleId="CommentSubject">
    <w:name w:val="annotation subject"/>
    <w:basedOn w:val="CommentText"/>
    <w:next w:val="CommentText"/>
    <w:link w:val="CommentSubjectChar"/>
    <w:rsid w:val="004F2C61"/>
    <w:rPr>
      <w:b/>
      <w:bCs/>
    </w:rPr>
  </w:style>
  <w:style w:type="character" w:customStyle="1" w:styleId="CommentSubjectChar">
    <w:name w:val="Comment Subject Char"/>
    <w:link w:val="CommentSubject"/>
    <w:rsid w:val="004F2C61"/>
    <w:rPr>
      <w:b/>
      <w:bCs/>
    </w:rPr>
  </w:style>
  <w:style w:type="paragraph" w:styleId="BalloonText">
    <w:name w:val="Balloon Text"/>
    <w:basedOn w:val="Normal"/>
    <w:link w:val="BalloonTextChar"/>
    <w:rsid w:val="004F2C61"/>
    <w:rPr>
      <w:rFonts w:ascii="Tahoma" w:hAnsi="Tahoma" w:cs="Tahoma"/>
      <w:sz w:val="16"/>
      <w:szCs w:val="16"/>
    </w:rPr>
  </w:style>
  <w:style w:type="character" w:customStyle="1" w:styleId="BalloonTextChar">
    <w:name w:val="Balloon Text Char"/>
    <w:link w:val="BalloonText"/>
    <w:rsid w:val="004F2C61"/>
    <w:rPr>
      <w:rFonts w:ascii="Tahoma" w:hAnsi="Tahoma" w:cs="Tahoma"/>
      <w:sz w:val="16"/>
      <w:szCs w:val="16"/>
    </w:rPr>
  </w:style>
  <w:style w:type="paragraph" w:styleId="HTMLPreformatted">
    <w:name w:val="HTML Preformatted"/>
    <w:basedOn w:val="Normal"/>
    <w:link w:val="HTMLPreformattedChar"/>
    <w:uiPriority w:val="99"/>
    <w:rsid w:val="00706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link w:val="HTMLPreformatted"/>
    <w:uiPriority w:val="99"/>
    <w:rsid w:val="00D81B29"/>
    <w:rPr>
      <w:rFonts w:ascii="Courier New" w:hAnsi="Courier New" w:cs="Courier New"/>
      <w:color w:val="000000"/>
    </w:rPr>
  </w:style>
  <w:style w:type="character" w:styleId="FollowedHyperlink">
    <w:name w:val="FollowedHyperlink"/>
    <w:rsid w:val="0041052B"/>
    <w:rPr>
      <w:color w:val="800080"/>
      <w:u w:val="single"/>
    </w:rPr>
  </w:style>
  <w:style w:type="character" w:styleId="Emphasis">
    <w:name w:val="Emphasis"/>
    <w:uiPriority w:val="20"/>
    <w:qFormat/>
    <w:rsid w:val="008C6CC7"/>
    <w:rPr>
      <w:i/>
      <w:iCs/>
    </w:rPr>
  </w:style>
  <w:style w:type="character" w:styleId="Strong">
    <w:name w:val="Strong"/>
    <w:uiPriority w:val="22"/>
    <w:qFormat/>
    <w:rsid w:val="008C6CC7"/>
    <w:rPr>
      <w:b/>
      <w:bCs/>
    </w:rPr>
  </w:style>
  <w:style w:type="paragraph" w:styleId="FootnoteText">
    <w:name w:val="footnote text"/>
    <w:basedOn w:val="Normal"/>
    <w:link w:val="FootnoteTextChar"/>
    <w:uiPriority w:val="99"/>
    <w:unhideWhenUsed/>
    <w:rsid w:val="00702F59"/>
    <w:rPr>
      <w:rFonts w:eastAsia="Calibri"/>
      <w:sz w:val="20"/>
      <w:szCs w:val="20"/>
    </w:rPr>
  </w:style>
  <w:style w:type="character" w:customStyle="1" w:styleId="FootnoteTextChar">
    <w:name w:val="Footnote Text Char"/>
    <w:link w:val="FootnoteText"/>
    <w:uiPriority w:val="99"/>
    <w:rsid w:val="00702F59"/>
    <w:rPr>
      <w:rFonts w:eastAsia="Calibri"/>
    </w:rPr>
  </w:style>
  <w:style w:type="character" w:styleId="FootnoteReference">
    <w:name w:val="footnote reference"/>
    <w:uiPriority w:val="99"/>
    <w:unhideWhenUsed/>
    <w:rsid w:val="00702F59"/>
    <w:rPr>
      <w:vertAlign w:val="superscript"/>
    </w:rPr>
  </w:style>
  <w:style w:type="paragraph" w:styleId="NormalWeb">
    <w:name w:val="Normal (Web)"/>
    <w:basedOn w:val="Normal"/>
    <w:uiPriority w:val="99"/>
    <w:unhideWhenUsed/>
    <w:rsid w:val="00702F59"/>
    <w:rPr>
      <w:rFonts w:eastAsia="Calibri"/>
    </w:rPr>
  </w:style>
  <w:style w:type="paragraph" w:styleId="ListParagraph">
    <w:name w:val="List Paragraph"/>
    <w:basedOn w:val="Normal"/>
    <w:uiPriority w:val="34"/>
    <w:qFormat/>
    <w:rsid w:val="003C788D"/>
    <w:pPr>
      <w:spacing w:after="200" w:line="276" w:lineRule="auto"/>
      <w:ind w:left="720"/>
      <w:contextualSpacing/>
    </w:pPr>
    <w:rPr>
      <w:rFonts w:ascii="Calibri" w:eastAsia="Calibri" w:hAnsi="Calibri"/>
      <w:sz w:val="22"/>
      <w:szCs w:val="22"/>
    </w:rPr>
  </w:style>
  <w:style w:type="paragraph" w:styleId="Subtitle">
    <w:name w:val="Subtitle"/>
    <w:basedOn w:val="Normal"/>
    <w:next w:val="Normal"/>
    <w:link w:val="SubtitleChar"/>
    <w:qFormat/>
    <w:rsid w:val="003C788D"/>
    <w:pPr>
      <w:spacing w:after="60"/>
      <w:jc w:val="center"/>
      <w:outlineLvl w:val="1"/>
    </w:pPr>
    <w:rPr>
      <w:rFonts w:ascii="Cambria" w:hAnsi="Cambria"/>
    </w:rPr>
  </w:style>
  <w:style w:type="character" w:customStyle="1" w:styleId="SubtitleChar">
    <w:name w:val="Subtitle Char"/>
    <w:basedOn w:val="DefaultParagraphFont"/>
    <w:link w:val="Subtitle"/>
    <w:rsid w:val="003C788D"/>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2184">
      <w:bodyDiv w:val="1"/>
      <w:marLeft w:val="0"/>
      <w:marRight w:val="0"/>
      <w:marTop w:val="0"/>
      <w:marBottom w:val="0"/>
      <w:divBdr>
        <w:top w:val="none" w:sz="0" w:space="0" w:color="auto"/>
        <w:left w:val="none" w:sz="0" w:space="0" w:color="auto"/>
        <w:bottom w:val="none" w:sz="0" w:space="0" w:color="auto"/>
        <w:right w:val="none" w:sz="0" w:space="0" w:color="auto"/>
      </w:divBdr>
    </w:div>
    <w:div w:id="82580459">
      <w:bodyDiv w:val="1"/>
      <w:marLeft w:val="0"/>
      <w:marRight w:val="0"/>
      <w:marTop w:val="0"/>
      <w:marBottom w:val="0"/>
      <w:divBdr>
        <w:top w:val="none" w:sz="0" w:space="0" w:color="auto"/>
        <w:left w:val="none" w:sz="0" w:space="0" w:color="auto"/>
        <w:bottom w:val="none" w:sz="0" w:space="0" w:color="auto"/>
        <w:right w:val="none" w:sz="0" w:space="0" w:color="auto"/>
      </w:divBdr>
    </w:div>
    <w:div w:id="113258073">
      <w:bodyDiv w:val="1"/>
      <w:marLeft w:val="0"/>
      <w:marRight w:val="0"/>
      <w:marTop w:val="0"/>
      <w:marBottom w:val="0"/>
      <w:divBdr>
        <w:top w:val="none" w:sz="0" w:space="0" w:color="auto"/>
        <w:left w:val="none" w:sz="0" w:space="0" w:color="auto"/>
        <w:bottom w:val="none" w:sz="0" w:space="0" w:color="auto"/>
        <w:right w:val="none" w:sz="0" w:space="0" w:color="auto"/>
      </w:divBdr>
    </w:div>
    <w:div w:id="120921846">
      <w:bodyDiv w:val="1"/>
      <w:marLeft w:val="0"/>
      <w:marRight w:val="0"/>
      <w:marTop w:val="0"/>
      <w:marBottom w:val="0"/>
      <w:divBdr>
        <w:top w:val="none" w:sz="0" w:space="0" w:color="auto"/>
        <w:left w:val="none" w:sz="0" w:space="0" w:color="auto"/>
        <w:bottom w:val="none" w:sz="0" w:space="0" w:color="auto"/>
        <w:right w:val="none" w:sz="0" w:space="0" w:color="auto"/>
      </w:divBdr>
    </w:div>
    <w:div w:id="164781825">
      <w:bodyDiv w:val="1"/>
      <w:marLeft w:val="0"/>
      <w:marRight w:val="0"/>
      <w:marTop w:val="0"/>
      <w:marBottom w:val="0"/>
      <w:divBdr>
        <w:top w:val="none" w:sz="0" w:space="0" w:color="auto"/>
        <w:left w:val="none" w:sz="0" w:space="0" w:color="auto"/>
        <w:bottom w:val="none" w:sz="0" w:space="0" w:color="auto"/>
        <w:right w:val="none" w:sz="0" w:space="0" w:color="auto"/>
      </w:divBdr>
    </w:div>
    <w:div w:id="389696926">
      <w:bodyDiv w:val="1"/>
      <w:marLeft w:val="0"/>
      <w:marRight w:val="0"/>
      <w:marTop w:val="0"/>
      <w:marBottom w:val="0"/>
      <w:divBdr>
        <w:top w:val="none" w:sz="0" w:space="0" w:color="auto"/>
        <w:left w:val="none" w:sz="0" w:space="0" w:color="auto"/>
        <w:bottom w:val="none" w:sz="0" w:space="0" w:color="auto"/>
        <w:right w:val="none" w:sz="0" w:space="0" w:color="auto"/>
      </w:divBdr>
    </w:div>
    <w:div w:id="405298749">
      <w:bodyDiv w:val="1"/>
      <w:marLeft w:val="0"/>
      <w:marRight w:val="0"/>
      <w:marTop w:val="0"/>
      <w:marBottom w:val="0"/>
      <w:divBdr>
        <w:top w:val="none" w:sz="0" w:space="0" w:color="auto"/>
        <w:left w:val="none" w:sz="0" w:space="0" w:color="auto"/>
        <w:bottom w:val="none" w:sz="0" w:space="0" w:color="auto"/>
        <w:right w:val="none" w:sz="0" w:space="0" w:color="auto"/>
      </w:divBdr>
    </w:div>
    <w:div w:id="685794943">
      <w:bodyDiv w:val="1"/>
      <w:marLeft w:val="0"/>
      <w:marRight w:val="0"/>
      <w:marTop w:val="0"/>
      <w:marBottom w:val="0"/>
      <w:divBdr>
        <w:top w:val="none" w:sz="0" w:space="0" w:color="auto"/>
        <w:left w:val="none" w:sz="0" w:space="0" w:color="auto"/>
        <w:bottom w:val="none" w:sz="0" w:space="0" w:color="auto"/>
        <w:right w:val="none" w:sz="0" w:space="0" w:color="auto"/>
      </w:divBdr>
    </w:div>
    <w:div w:id="711732241">
      <w:bodyDiv w:val="1"/>
      <w:marLeft w:val="0"/>
      <w:marRight w:val="0"/>
      <w:marTop w:val="0"/>
      <w:marBottom w:val="0"/>
      <w:divBdr>
        <w:top w:val="none" w:sz="0" w:space="0" w:color="auto"/>
        <w:left w:val="none" w:sz="0" w:space="0" w:color="auto"/>
        <w:bottom w:val="none" w:sz="0" w:space="0" w:color="auto"/>
        <w:right w:val="none" w:sz="0" w:space="0" w:color="auto"/>
      </w:divBdr>
    </w:div>
    <w:div w:id="751390262">
      <w:bodyDiv w:val="1"/>
      <w:marLeft w:val="0"/>
      <w:marRight w:val="0"/>
      <w:marTop w:val="0"/>
      <w:marBottom w:val="0"/>
      <w:divBdr>
        <w:top w:val="none" w:sz="0" w:space="0" w:color="auto"/>
        <w:left w:val="none" w:sz="0" w:space="0" w:color="auto"/>
        <w:bottom w:val="none" w:sz="0" w:space="0" w:color="auto"/>
        <w:right w:val="none" w:sz="0" w:space="0" w:color="auto"/>
      </w:divBdr>
    </w:div>
    <w:div w:id="767628123">
      <w:bodyDiv w:val="1"/>
      <w:marLeft w:val="0"/>
      <w:marRight w:val="0"/>
      <w:marTop w:val="0"/>
      <w:marBottom w:val="0"/>
      <w:divBdr>
        <w:top w:val="none" w:sz="0" w:space="0" w:color="auto"/>
        <w:left w:val="none" w:sz="0" w:space="0" w:color="auto"/>
        <w:bottom w:val="none" w:sz="0" w:space="0" w:color="auto"/>
        <w:right w:val="none" w:sz="0" w:space="0" w:color="auto"/>
      </w:divBdr>
    </w:div>
    <w:div w:id="812481929">
      <w:bodyDiv w:val="1"/>
      <w:marLeft w:val="0"/>
      <w:marRight w:val="0"/>
      <w:marTop w:val="0"/>
      <w:marBottom w:val="0"/>
      <w:divBdr>
        <w:top w:val="none" w:sz="0" w:space="0" w:color="auto"/>
        <w:left w:val="none" w:sz="0" w:space="0" w:color="auto"/>
        <w:bottom w:val="none" w:sz="0" w:space="0" w:color="auto"/>
        <w:right w:val="none" w:sz="0" w:space="0" w:color="auto"/>
      </w:divBdr>
    </w:div>
    <w:div w:id="816604378">
      <w:bodyDiv w:val="1"/>
      <w:marLeft w:val="0"/>
      <w:marRight w:val="0"/>
      <w:marTop w:val="0"/>
      <w:marBottom w:val="0"/>
      <w:divBdr>
        <w:top w:val="none" w:sz="0" w:space="0" w:color="auto"/>
        <w:left w:val="none" w:sz="0" w:space="0" w:color="auto"/>
        <w:bottom w:val="none" w:sz="0" w:space="0" w:color="auto"/>
        <w:right w:val="none" w:sz="0" w:space="0" w:color="auto"/>
      </w:divBdr>
    </w:div>
    <w:div w:id="1051538014">
      <w:bodyDiv w:val="1"/>
      <w:marLeft w:val="0"/>
      <w:marRight w:val="0"/>
      <w:marTop w:val="0"/>
      <w:marBottom w:val="0"/>
      <w:divBdr>
        <w:top w:val="none" w:sz="0" w:space="0" w:color="auto"/>
        <w:left w:val="none" w:sz="0" w:space="0" w:color="auto"/>
        <w:bottom w:val="none" w:sz="0" w:space="0" w:color="auto"/>
        <w:right w:val="none" w:sz="0" w:space="0" w:color="auto"/>
      </w:divBdr>
    </w:div>
    <w:div w:id="1055276844">
      <w:bodyDiv w:val="1"/>
      <w:marLeft w:val="0"/>
      <w:marRight w:val="0"/>
      <w:marTop w:val="0"/>
      <w:marBottom w:val="0"/>
      <w:divBdr>
        <w:top w:val="none" w:sz="0" w:space="0" w:color="auto"/>
        <w:left w:val="none" w:sz="0" w:space="0" w:color="auto"/>
        <w:bottom w:val="none" w:sz="0" w:space="0" w:color="auto"/>
        <w:right w:val="none" w:sz="0" w:space="0" w:color="auto"/>
      </w:divBdr>
    </w:div>
    <w:div w:id="1111441431">
      <w:bodyDiv w:val="1"/>
      <w:marLeft w:val="0"/>
      <w:marRight w:val="0"/>
      <w:marTop w:val="0"/>
      <w:marBottom w:val="0"/>
      <w:divBdr>
        <w:top w:val="none" w:sz="0" w:space="0" w:color="auto"/>
        <w:left w:val="none" w:sz="0" w:space="0" w:color="auto"/>
        <w:bottom w:val="none" w:sz="0" w:space="0" w:color="auto"/>
        <w:right w:val="none" w:sz="0" w:space="0" w:color="auto"/>
      </w:divBdr>
    </w:div>
    <w:div w:id="1124008707">
      <w:bodyDiv w:val="1"/>
      <w:marLeft w:val="0"/>
      <w:marRight w:val="0"/>
      <w:marTop w:val="0"/>
      <w:marBottom w:val="0"/>
      <w:divBdr>
        <w:top w:val="none" w:sz="0" w:space="0" w:color="auto"/>
        <w:left w:val="none" w:sz="0" w:space="0" w:color="auto"/>
        <w:bottom w:val="none" w:sz="0" w:space="0" w:color="auto"/>
        <w:right w:val="none" w:sz="0" w:space="0" w:color="auto"/>
      </w:divBdr>
    </w:div>
    <w:div w:id="1148866532">
      <w:bodyDiv w:val="1"/>
      <w:marLeft w:val="0"/>
      <w:marRight w:val="0"/>
      <w:marTop w:val="0"/>
      <w:marBottom w:val="0"/>
      <w:divBdr>
        <w:top w:val="none" w:sz="0" w:space="0" w:color="auto"/>
        <w:left w:val="none" w:sz="0" w:space="0" w:color="auto"/>
        <w:bottom w:val="none" w:sz="0" w:space="0" w:color="auto"/>
        <w:right w:val="none" w:sz="0" w:space="0" w:color="auto"/>
      </w:divBdr>
    </w:div>
    <w:div w:id="1213422052">
      <w:bodyDiv w:val="1"/>
      <w:marLeft w:val="0"/>
      <w:marRight w:val="0"/>
      <w:marTop w:val="0"/>
      <w:marBottom w:val="0"/>
      <w:divBdr>
        <w:top w:val="none" w:sz="0" w:space="0" w:color="auto"/>
        <w:left w:val="none" w:sz="0" w:space="0" w:color="auto"/>
        <w:bottom w:val="none" w:sz="0" w:space="0" w:color="auto"/>
        <w:right w:val="none" w:sz="0" w:space="0" w:color="auto"/>
      </w:divBdr>
    </w:div>
    <w:div w:id="1374696034">
      <w:bodyDiv w:val="1"/>
      <w:marLeft w:val="0"/>
      <w:marRight w:val="0"/>
      <w:marTop w:val="0"/>
      <w:marBottom w:val="0"/>
      <w:divBdr>
        <w:top w:val="none" w:sz="0" w:space="0" w:color="auto"/>
        <w:left w:val="none" w:sz="0" w:space="0" w:color="auto"/>
        <w:bottom w:val="none" w:sz="0" w:space="0" w:color="auto"/>
        <w:right w:val="none" w:sz="0" w:space="0" w:color="auto"/>
      </w:divBdr>
    </w:div>
    <w:div w:id="1531987868">
      <w:bodyDiv w:val="1"/>
      <w:marLeft w:val="0"/>
      <w:marRight w:val="0"/>
      <w:marTop w:val="0"/>
      <w:marBottom w:val="0"/>
      <w:divBdr>
        <w:top w:val="none" w:sz="0" w:space="0" w:color="auto"/>
        <w:left w:val="none" w:sz="0" w:space="0" w:color="auto"/>
        <w:bottom w:val="none" w:sz="0" w:space="0" w:color="auto"/>
        <w:right w:val="none" w:sz="0" w:space="0" w:color="auto"/>
      </w:divBdr>
    </w:div>
    <w:div w:id="1593005392">
      <w:bodyDiv w:val="1"/>
      <w:marLeft w:val="0"/>
      <w:marRight w:val="0"/>
      <w:marTop w:val="0"/>
      <w:marBottom w:val="0"/>
      <w:divBdr>
        <w:top w:val="none" w:sz="0" w:space="0" w:color="auto"/>
        <w:left w:val="none" w:sz="0" w:space="0" w:color="auto"/>
        <w:bottom w:val="none" w:sz="0" w:space="0" w:color="auto"/>
        <w:right w:val="none" w:sz="0" w:space="0" w:color="auto"/>
      </w:divBdr>
    </w:div>
    <w:div w:id="1707216503">
      <w:bodyDiv w:val="1"/>
      <w:marLeft w:val="0"/>
      <w:marRight w:val="0"/>
      <w:marTop w:val="0"/>
      <w:marBottom w:val="0"/>
      <w:divBdr>
        <w:top w:val="none" w:sz="0" w:space="0" w:color="auto"/>
        <w:left w:val="none" w:sz="0" w:space="0" w:color="auto"/>
        <w:bottom w:val="none" w:sz="0" w:space="0" w:color="auto"/>
        <w:right w:val="none" w:sz="0" w:space="0" w:color="auto"/>
      </w:divBdr>
      <w:divsChild>
        <w:div w:id="871302647">
          <w:marLeft w:val="0"/>
          <w:marRight w:val="0"/>
          <w:marTop w:val="0"/>
          <w:marBottom w:val="0"/>
          <w:divBdr>
            <w:top w:val="none" w:sz="0" w:space="0" w:color="auto"/>
            <w:left w:val="none" w:sz="0" w:space="0" w:color="auto"/>
            <w:bottom w:val="none" w:sz="0" w:space="0" w:color="auto"/>
            <w:right w:val="none" w:sz="0" w:space="0" w:color="auto"/>
          </w:divBdr>
          <w:divsChild>
            <w:div w:id="75441249">
              <w:marLeft w:val="0"/>
              <w:marRight w:val="0"/>
              <w:marTop w:val="0"/>
              <w:marBottom w:val="0"/>
              <w:divBdr>
                <w:top w:val="none" w:sz="0" w:space="0" w:color="auto"/>
                <w:left w:val="none" w:sz="0" w:space="0" w:color="auto"/>
                <w:bottom w:val="none" w:sz="0" w:space="0" w:color="auto"/>
                <w:right w:val="none" w:sz="0" w:space="0" w:color="auto"/>
              </w:divBdr>
              <w:divsChild>
                <w:div w:id="1439566072">
                  <w:marLeft w:val="0"/>
                  <w:marRight w:val="0"/>
                  <w:marTop w:val="0"/>
                  <w:marBottom w:val="0"/>
                  <w:divBdr>
                    <w:top w:val="none" w:sz="0" w:space="0" w:color="auto"/>
                    <w:left w:val="none" w:sz="0" w:space="0" w:color="auto"/>
                    <w:bottom w:val="none" w:sz="0" w:space="0" w:color="auto"/>
                    <w:right w:val="none" w:sz="0" w:space="0" w:color="auto"/>
                  </w:divBdr>
                  <w:divsChild>
                    <w:div w:id="836074920">
                      <w:marLeft w:val="0"/>
                      <w:marRight w:val="0"/>
                      <w:marTop w:val="0"/>
                      <w:marBottom w:val="0"/>
                      <w:divBdr>
                        <w:top w:val="none" w:sz="0" w:space="0" w:color="auto"/>
                        <w:left w:val="none" w:sz="0" w:space="0" w:color="auto"/>
                        <w:bottom w:val="none" w:sz="0" w:space="0" w:color="auto"/>
                        <w:right w:val="none" w:sz="0" w:space="0" w:color="auto"/>
                      </w:divBdr>
                      <w:divsChild>
                        <w:div w:id="497422578">
                          <w:marLeft w:val="0"/>
                          <w:marRight w:val="0"/>
                          <w:marTop w:val="0"/>
                          <w:marBottom w:val="0"/>
                          <w:divBdr>
                            <w:top w:val="none" w:sz="0" w:space="0" w:color="auto"/>
                            <w:left w:val="none" w:sz="0" w:space="0" w:color="auto"/>
                            <w:bottom w:val="none" w:sz="0" w:space="0" w:color="auto"/>
                            <w:right w:val="none" w:sz="0" w:space="0" w:color="auto"/>
                          </w:divBdr>
                          <w:divsChild>
                            <w:div w:id="1079248310">
                              <w:marLeft w:val="0"/>
                              <w:marRight w:val="0"/>
                              <w:marTop w:val="0"/>
                              <w:marBottom w:val="0"/>
                              <w:divBdr>
                                <w:top w:val="none" w:sz="0" w:space="0" w:color="auto"/>
                                <w:left w:val="none" w:sz="0" w:space="0" w:color="auto"/>
                                <w:bottom w:val="none" w:sz="0" w:space="0" w:color="auto"/>
                                <w:right w:val="none" w:sz="0" w:space="0" w:color="auto"/>
                              </w:divBdr>
                              <w:divsChild>
                                <w:div w:id="1693267580">
                                  <w:marLeft w:val="0"/>
                                  <w:marRight w:val="0"/>
                                  <w:marTop w:val="240"/>
                                  <w:marBottom w:val="240"/>
                                  <w:divBdr>
                                    <w:top w:val="none" w:sz="0" w:space="0" w:color="auto"/>
                                    <w:left w:val="none" w:sz="0" w:space="0" w:color="auto"/>
                                    <w:bottom w:val="none" w:sz="0" w:space="0" w:color="auto"/>
                                    <w:right w:val="none" w:sz="0" w:space="0" w:color="auto"/>
                                  </w:divBdr>
                                  <w:divsChild>
                                    <w:div w:id="100954256">
                                      <w:marLeft w:val="0"/>
                                      <w:marRight w:val="0"/>
                                      <w:marTop w:val="0"/>
                                      <w:marBottom w:val="0"/>
                                      <w:divBdr>
                                        <w:top w:val="none" w:sz="0" w:space="0" w:color="auto"/>
                                        <w:left w:val="none" w:sz="0" w:space="0" w:color="auto"/>
                                        <w:bottom w:val="none" w:sz="0" w:space="0" w:color="auto"/>
                                        <w:right w:val="none" w:sz="0" w:space="0" w:color="auto"/>
                                      </w:divBdr>
                                      <w:divsChild>
                                        <w:div w:id="1436560378">
                                          <w:marLeft w:val="0"/>
                                          <w:marRight w:val="0"/>
                                          <w:marTop w:val="0"/>
                                          <w:marBottom w:val="0"/>
                                          <w:divBdr>
                                            <w:top w:val="none" w:sz="0" w:space="0" w:color="auto"/>
                                            <w:left w:val="none" w:sz="0" w:space="0" w:color="auto"/>
                                            <w:bottom w:val="none" w:sz="0" w:space="0" w:color="auto"/>
                                            <w:right w:val="none" w:sz="0" w:space="0" w:color="auto"/>
                                          </w:divBdr>
                                          <w:divsChild>
                                            <w:div w:id="7289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0144065">
      <w:bodyDiv w:val="1"/>
      <w:marLeft w:val="0"/>
      <w:marRight w:val="0"/>
      <w:marTop w:val="0"/>
      <w:marBottom w:val="0"/>
      <w:divBdr>
        <w:top w:val="none" w:sz="0" w:space="0" w:color="auto"/>
        <w:left w:val="none" w:sz="0" w:space="0" w:color="auto"/>
        <w:bottom w:val="none" w:sz="0" w:space="0" w:color="auto"/>
        <w:right w:val="none" w:sz="0" w:space="0" w:color="auto"/>
      </w:divBdr>
    </w:div>
    <w:div w:id="1860773823">
      <w:bodyDiv w:val="1"/>
      <w:marLeft w:val="0"/>
      <w:marRight w:val="0"/>
      <w:marTop w:val="0"/>
      <w:marBottom w:val="0"/>
      <w:divBdr>
        <w:top w:val="none" w:sz="0" w:space="0" w:color="auto"/>
        <w:left w:val="none" w:sz="0" w:space="0" w:color="auto"/>
        <w:bottom w:val="none" w:sz="0" w:space="0" w:color="auto"/>
        <w:right w:val="none" w:sz="0" w:space="0" w:color="auto"/>
      </w:divBdr>
    </w:div>
    <w:div w:id="1897352330">
      <w:bodyDiv w:val="1"/>
      <w:marLeft w:val="0"/>
      <w:marRight w:val="0"/>
      <w:marTop w:val="0"/>
      <w:marBottom w:val="0"/>
      <w:divBdr>
        <w:top w:val="none" w:sz="0" w:space="0" w:color="auto"/>
        <w:left w:val="none" w:sz="0" w:space="0" w:color="auto"/>
        <w:bottom w:val="none" w:sz="0" w:space="0" w:color="auto"/>
        <w:right w:val="none" w:sz="0" w:space="0" w:color="auto"/>
      </w:divBdr>
    </w:div>
    <w:div w:id="1991863913">
      <w:bodyDiv w:val="1"/>
      <w:marLeft w:val="0"/>
      <w:marRight w:val="0"/>
      <w:marTop w:val="0"/>
      <w:marBottom w:val="0"/>
      <w:divBdr>
        <w:top w:val="none" w:sz="0" w:space="0" w:color="auto"/>
        <w:left w:val="none" w:sz="0" w:space="0" w:color="auto"/>
        <w:bottom w:val="none" w:sz="0" w:space="0" w:color="auto"/>
        <w:right w:val="none" w:sz="0" w:space="0" w:color="auto"/>
      </w:divBdr>
    </w:div>
    <w:div w:id="2099905680">
      <w:bodyDiv w:val="1"/>
      <w:marLeft w:val="0"/>
      <w:marRight w:val="0"/>
      <w:marTop w:val="0"/>
      <w:marBottom w:val="0"/>
      <w:divBdr>
        <w:top w:val="none" w:sz="0" w:space="0" w:color="auto"/>
        <w:left w:val="none" w:sz="0" w:space="0" w:color="auto"/>
        <w:bottom w:val="none" w:sz="0" w:space="0" w:color="auto"/>
        <w:right w:val="none" w:sz="0" w:space="0" w:color="auto"/>
      </w:divBdr>
      <w:divsChild>
        <w:div w:id="89011547">
          <w:marLeft w:val="0"/>
          <w:marRight w:val="0"/>
          <w:marTop w:val="0"/>
          <w:marBottom w:val="0"/>
          <w:divBdr>
            <w:top w:val="none" w:sz="0" w:space="0" w:color="auto"/>
            <w:left w:val="none" w:sz="0" w:space="0" w:color="auto"/>
            <w:bottom w:val="none" w:sz="0" w:space="0" w:color="auto"/>
            <w:right w:val="none" w:sz="0" w:space="0" w:color="auto"/>
          </w:divBdr>
          <w:divsChild>
            <w:div w:id="1717927821">
              <w:marLeft w:val="0"/>
              <w:marRight w:val="0"/>
              <w:marTop w:val="0"/>
              <w:marBottom w:val="0"/>
              <w:divBdr>
                <w:top w:val="none" w:sz="0" w:space="0" w:color="auto"/>
                <w:left w:val="none" w:sz="0" w:space="0" w:color="auto"/>
                <w:bottom w:val="none" w:sz="0" w:space="0" w:color="auto"/>
                <w:right w:val="none" w:sz="0" w:space="0" w:color="auto"/>
              </w:divBdr>
              <w:divsChild>
                <w:div w:id="79833252">
                  <w:marLeft w:val="0"/>
                  <w:marRight w:val="0"/>
                  <w:marTop w:val="0"/>
                  <w:marBottom w:val="0"/>
                  <w:divBdr>
                    <w:top w:val="none" w:sz="0" w:space="0" w:color="auto"/>
                    <w:left w:val="none" w:sz="0" w:space="0" w:color="auto"/>
                    <w:bottom w:val="none" w:sz="0" w:space="0" w:color="auto"/>
                    <w:right w:val="none" w:sz="0" w:space="0" w:color="auto"/>
                  </w:divBdr>
                  <w:divsChild>
                    <w:div w:id="1029527478">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2011133817">
                              <w:marLeft w:val="0"/>
                              <w:marRight w:val="0"/>
                              <w:marTop w:val="0"/>
                              <w:marBottom w:val="0"/>
                              <w:divBdr>
                                <w:top w:val="none" w:sz="0" w:space="0" w:color="auto"/>
                                <w:left w:val="none" w:sz="0" w:space="0" w:color="auto"/>
                                <w:bottom w:val="none" w:sz="0" w:space="0" w:color="auto"/>
                                <w:right w:val="none" w:sz="0" w:space="0" w:color="auto"/>
                              </w:divBdr>
                              <w:divsChild>
                                <w:div w:id="62874857">
                                  <w:marLeft w:val="0"/>
                                  <w:marRight w:val="0"/>
                                  <w:marTop w:val="240"/>
                                  <w:marBottom w:val="240"/>
                                  <w:divBdr>
                                    <w:top w:val="none" w:sz="0" w:space="0" w:color="auto"/>
                                    <w:left w:val="none" w:sz="0" w:space="0" w:color="auto"/>
                                    <w:bottom w:val="none" w:sz="0" w:space="0" w:color="auto"/>
                                    <w:right w:val="none" w:sz="0" w:space="0" w:color="auto"/>
                                  </w:divBdr>
                                  <w:divsChild>
                                    <w:div w:id="882523530">
                                      <w:marLeft w:val="0"/>
                                      <w:marRight w:val="0"/>
                                      <w:marTop w:val="0"/>
                                      <w:marBottom w:val="0"/>
                                      <w:divBdr>
                                        <w:top w:val="none" w:sz="0" w:space="0" w:color="auto"/>
                                        <w:left w:val="none" w:sz="0" w:space="0" w:color="auto"/>
                                        <w:bottom w:val="none" w:sz="0" w:space="0" w:color="auto"/>
                                        <w:right w:val="none" w:sz="0" w:space="0" w:color="auto"/>
                                      </w:divBdr>
                                      <w:divsChild>
                                        <w:div w:id="376242351">
                                          <w:marLeft w:val="0"/>
                                          <w:marRight w:val="0"/>
                                          <w:marTop w:val="0"/>
                                          <w:marBottom w:val="0"/>
                                          <w:divBdr>
                                            <w:top w:val="none" w:sz="0" w:space="0" w:color="auto"/>
                                            <w:left w:val="none" w:sz="0" w:space="0" w:color="auto"/>
                                            <w:bottom w:val="none" w:sz="0" w:space="0" w:color="auto"/>
                                            <w:right w:val="none" w:sz="0" w:space="0" w:color="auto"/>
                                          </w:divBdr>
                                          <w:divsChild>
                                            <w:div w:id="1763523591">
                                              <w:marLeft w:val="0"/>
                                              <w:marRight w:val="0"/>
                                              <w:marTop w:val="0"/>
                                              <w:marBottom w:val="0"/>
                                              <w:divBdr>
                                                <w:top w:val="none" w:sz="0" w:space="0" w:color="auto"/>
                                                <w:left w:val="none" w:sz="0" w:space="0" w:color="auto"/>
                                                <w:bottom w:val="none" w:sz="0" w:space="0" w:color="auto"/>
                                                <w:right w:val="none" w:sz="0" w:space="0" w:color="auto"/>
                                              </w:divBdr>
                                              <w:divsChild>
                                                <w:div w:id="60567744">
                                                  <w:marLeft w:val="0"/>
                                                  <w:marRight w:val="0"/>
                                                  <w:marTop w:val="0"/>
                                                  <w:marBottom w:val="0"/>
                                                  <w:divBdr>
                                                    <w:top w:val="none" w:sz="0" w:space="0" w:color="auto"/>
                                                    <w:left w:val="none" w:sz="0" w:space="0" w:color="auto"/>
                                                    <w:bottom w:val="none" w:sz="0" w:space="0" w:color="auto"/>
                                                    <w:right w:val="none" w:sz="0" w:space="0" w:color="auto"/>
                                                  </w:divBdr>
                                                </w:div>
                                                <w:div w:id="1076975515">
                                                  <w:marLeft w:val="0"/>
                                                  <w:marRight w:val="0"/>
                                                  <w:marTop w:val="0"/>
                                                  <w:marBottom w:val="0"/>
                                                  <w:divBdr>
                                                    <w:top w:val="none" w:sz="0" w:space="0" w:color="auto"/>
                                                    <w:left w:val="none" w:sz="0" w:space="0" w:color="auto"/>
                                                    <w:bottom w:val="none" w:sz="0" w:space="0" w:color="auto"/>
                                                    <w:right w:val="none" w:sz="0" w:space="0" w:color="auto"/>
                                                  </w:divBdr>
                                                </w:div>
                                                <w:div w:id="15787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arvardcrcl.org/archive/" TargetMode="Externa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cdl.org/champion.aspx"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tvw.org/index.php?option=com_tvwplayer&amp;eventID=2014050006" TargetMode="External"/><Relationship Id="rId4" Type="http://schemas.openxmlformats.org/officeDocument/2006/relationships/settings" Target="settings.xml"/><Relationship Id="rId9" Type="http://schemas.openxmlformats.org/officeDocument/2006/relationships/hyperlink" Target="http://apps.leg.wa.gov/RCW/default.aspx?cite=13.04.030"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owacourts.gov/About_the_Courts/Supreme_Court/Supreme_Court_Opinions/Recent_Opinions/20140718/11-1339.pdf" TargetMode="External"/><Relationship Id="rId3" Type="http://schemas.openxmlformats.org/officeDocument/2006/relationships/hyperlink" Target="http://www.defensenet.org/resources/practice-advisories/procedural-issues/PLEA%20OFFER_Short%20Deadline.doc/view" TargetMode="External"/><Relationship Id="rId7" Type="http://schemas.openxmlformats.org/officeDocument/2006/relationships/hyperlink" Target="http://www.defensenet.org/resources/brief-bank-1/juveniles_adult-court/Ramos%20AOB.doc/view" TargetMode="External"/><Relationship Id="rId2" Type="http://schemas.openxmlformats.org/officeDocument/2006/relationships/hyperlink" Target="http://www.nacdl.org/champion.aspx" TargetMode="External"/><Relationship Id="rId1" Type="http://schemas.openxmlformats.org/officeDocument/2006/relationships/hyperlink" Target="http://www.ustream.tv/recorded/20924981" TargetMode="External"/><Relationship Id="rId6" Type="http://schemas.openxmlformats.org/officeDocument/2006/relationships/hyperlink" Target="http://www.defensenet.org/resources/practice-advisories/youth-in-adult-courts/JLWOP_Miller%20and%205064%20for%20attorneys.docx/view" TargetMode="External"/><Relationship Id="rId5" Type="http://schemas.openxmlformats.org/officeDocument/2006/relationships/hyperlink" Target="http://www.defensenet.org/education-and-training/2010-cle-recordings-materials/challenging-auto-declines-from-juvenile-to-adult-superior-court" TargetMode="External"/><Relationship Id="rId4" Type="http://schemas.openxmlformats.org/officeDocument/2006/relationships/hyperlink" Target="http://www.defensenet.org/education-and-training/2011-cle-recordings-materials/wdas-2011-defender-conference-tools-of-defense-4.2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6DCD43-5247-4090-93F7-0E1875BEA31F}">
  <ds:schemaRefs>
    <ds:schemaRef ds:uri="http://schemas.openxmlformats.org/officeDocument/2006/bibliography"/>
  </ds:schemaRefs>
</ds:datastoreItem>
</file>

<file path=customXml/itemProps2.xml><?xml version="1.0" encoding="utf-8"?>
<ds:datastoreItem xmlns:ds="http://schemas.openxmlformats.org/officeDocument/2006/customXml" ds:itemID="{113BA692-8C88-4475-B1B6-85D789731905}"/>
</file>

<file path=customXml/itemProps3.xml><?xml version="1.0" encoding="utf-8"?>
<ds:datastoreItem xmlns:ds="http://schemas.openxmlformats.org/officeDocument/2006/customXml" ds:itemID="{6452439F-8E92-4F41-92A8-498FDF17477D}"/>
</file>

<file path=docProps/app.xml><?xml version="1.0" encoding="utf-8"?>
<Properties xmlns="http://schemas.openxmlformats.org/officeDocument/2006/extended-properties" xmlns:vt="http://schemas.openxmlformats.org/officeDocument/2006/docPropsVTypes">
  <Template>Normal</Template>
  <TotalTime>1</TotalTime>
  <Pages>8</Pages>
  <Words>2608</Words>
  <Characters>14626</Characters>
  <Application>Microsoft Office Word</Application>
  <DocSecurity>0</DocSecurity>
  <Lines>1625</Lines>
  <Paragraphs>861</Paragraphs>
  <ScaleCrop>false</ScaleCrop>
  <HeadingPairs>
    <vt:vector size="2" baseType="variant">
      <vt:variant>
        <vt:lpstr>Title</vt:lpstr>
      </vt:variant>
      <vt:variant>
        <vt:i4>1</vt:i4>
      </vt:variant>
    </vt:vector>
  </HeadingPairs>
  <TitlesOfParts>
    <vt:vector size="1" baseType="lpstr">
      <vt:lpstr>Technical Assistance Practice Advisory</vt:lpstr>
    </vt:vector>
  </TitlesOfParts>
  <Company>Microsoft</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Assistance Practice Advisory</dc:title>
  <dc:subject/>
  <dc:creator>Travis Stearns</dc:creator>
  <cp:keywords/>
  <cp:lastModifiedBy>Cindy Arends Elsberry</cp:lastModifiedBy>
  <cp:revision>3</cp:revision>
  <cp:lastPrinted>2012-12-17T19:36:00Z</cp:lastPrinted>
  <dcterms:created xsi:type="dcterms:W3CDTF">2022-11-18T18:15:00Z</dcterms:created>
  <dcterms:modified xsi:type="dcterms:W3CDTF">2022-11-18T18:19:00Z</dcterms:modified>
</cp:coreProperties>
</file>